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XSpec="center" w:tblpY="588"/>
        <w:tblW w:w="57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6"/>
        <w:gridCol w:w="1592"/>
        <w:gridCol w:w="1592"/>
        <w:gridCol w:w="2285"/>
        <w:gridCol w:w="3155"/>
      </w:tblGrid>
      <w:tr w:rsidR="00F23452" w:rsidRPr="00F23452" w:rsidTr="006F0F75">
        <w:trPr>
          <w:trHeight w:val="652"/>
        </w:trPr>
        <w:tc>
          <w:tcPr>
            <w:tcW w:w="889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20"/>
              <w:ind w:left="66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Kód:</w:t>
            </w:r>
          </w:p>
          <w:p w:rsidR="00F23452" w:rsidRPr="00F23452" w:rsidRDefault="00F23452" w:rsidP="00F23452">
            <w:pPr>
              <w:pStyle w:val="TableParagraph"/>
              <w:spacing w:before="31"/>
              <w:ind w:left="66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SZSZV144</w:t>
            </w:r>
          </w:p>
        </w:tc>
        <w:tc>
          <w:tcPr>
            <w:tcW w:w="2607" w:type="pct"/>
            <w:gridSpan w:val="3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21"/>
              <w:ind w:left="66"/>
              <w:rPr>
                <w:b/>
                <w:sz w:val="24"/>
                <w:lang w:val="hu-HU"/>
              </w:rPr>
            </w:pPr>
            <w:r w:rsidRPr="00F23452">
              <w:rPr>
                <w:b/>
                <w:w w:val="115"/>
                <w:sz w:val="24"/>
                <w:lang w:val="hu-HU"/>
              </w:rPr>
              <w:t>Szervezetfejlesztés és vezetési kultúra</w:t>
            </w:r>
          </w:p>
        </w:tc>
        <w:tc>
          <w:tcPr>
            <w:tcW w:w="1504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20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F23452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F23452" w:rsidRPr="00F23452" w:rsidRDefault="00F23452" w:rsidP="00F23452">
            <w:pPr>
              <w:pStyle w:val="TableParagraph"/>
              <w:spacing w:before="31"/>
              <w:ind w:right="1"/>
              <w:jc w:val="center"/>
              <w:rPr>
                <w:sz w:val="24"/>
                <w:lang w:val="hu-HU"/>
              </w:rPr>
            </w:pPr>
            <w:r w:rsidRPr="00F23452">
              <w:rPr>
                <w:w w:val="119"/>
                <w:sz w:val="24"/>
                <w:lang w:val="hu-HU"/>
              </w:rPr>
              <w:t>4</w:t>
            </w:r>
          </w:p>
        </w:tc>
      </w:tr>
      <w:tr w:rsidR="00F23452" w:rsidRPr="00F23452" w:rsidTr="006F0F75">
        <w:trPr>
          <w:trHeight w:val="647"/>
        </w:trPr>
        <w:tc>
          <w:tcPr>
            <w:tcW w:w="889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Választhatóság:</w:t>
            </w:r>
          </w:p>
          <w:p w:rsidR="00F23452" w:rsidRPr="00F23452" w:rsidRDefault="00F23452" w:rsidP="00F23452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kötelező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Óraszám:</w:t>
            </w:r>
          </w:p>
          <w:p w:rsidR="00F23452" w:rsidRPr="00F23452" w:rsidRDefault="00F23452" w:rsidP="00F23452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15</w:t>
            </w:r>
          </w:p>
        </w:tc>
        <w:tc>
          <w:tcPr>
            <w:tcW w:w="759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5"/>
              <w:ind w:left="23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Kurzuszárás:</w:t>
            </w:r>
          </w:p>
          <w:p w:rsidR="00F23452" w:rsidRPr="00F23452" w:rsidRDefault="00F23452" w:rsidP="00F23452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kollokvium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5"/>
              <w:ind w:left="28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Tanóraforma:</w:t>
            </w:r>
          </w:p>
          <w:p w:rsidR="00F23452" w:rsidRPr="00F23452" w:rsidRDefault="00F23452" w:rsidP="00F23452">
            <w:pPr>
              <w:pStyle w:val="TableParagraph"/>
              <w:spacing w:before="32"/>
              <w:ind w:left="28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előadás</w:t>
            </w:r>
          </w:p>
        </w:tc>
        <w:tc>
          <w:tcPr>
            <w:tcW w:w="1504" w:type="pct"/>
            <w:shd w:val="clear" w:color="auto" w:fill="F2F2F2" w:themeFill="background1" w:themeFillShade="F2"/>
          </w:tcPr>
          <w:p w:rsidR="00F23452" w:rsidRPr="00F23452" w:rsidRDefault="00F23452" w:rsidP="00F23452">
            <w:pPr>
              <w:pStyle w:val="TableParagraph"/>
              <w:spacing w:before="15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Előfeltétel:</w:t>
            </w:r>
          </w:p>
          <w:p w:rsidR="00F23452" w:rsidRPr="00F23452" w:rsidRDefault="00F23452" w:rsidP="00F23452">
            <w:pPr>
              <w:pStyle w:val="TableParagraph"/>
              <w:spacing w:before="36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––</w:t>
            </w:r>
          </w:p>
        </w:tc>
      </w:tr>
      <w:tr w:rsidR="00F23452" w:rsidRPr="00F23452" w:rsidTr="00F23452">
        <w:trPr>
          <w:trHeight w:val="12129"/>
        </w:trPr>
        <w:tc>
          <w:tcPr>
            <w:tcW w:w="5000" w:type="pct"/>
            <w:gridSpan w:val="5"/>
          </w:tcPr>
          <w:p w:rsidR="00F23452" w:rsidRPr="00F23452" w:rsidRDefault="00F23452" w:rsidP="00F23452">
            <w:pPr>
              <w:pStyle w:val="TableParagraph"/>
              <w:spacing w:before="15"/>
              <w:ind w:left="283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Tematika:</w:t>
            </w:r>
          </w:p>
          <w:p w:rsidR="00F23452" w:rsidRPr="00F23452" w:rsidRDefault="00F23452" w:rsidP="00F23452">
            <w:pPr>
              <w:pStyle w:val="TableParagraph"/>
              <w:spacing w:before="3"/>
              <w:rPr>
                <w:b/>
                <w:sz w:val="30"/>
                <w:lang w:val="hu-HU"/>
              </w:rPr>
            </w:pP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54" w:lineRule="auto"/>
              <w:ind w:right="1371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A szervezetek fogalma, az alapvető szervezeti paraméterek (munkamegosztás, hatáskörmegosztás, koordinációs eszközök,</w:t>
            </w:r>
            <w:r w:rsidRPr="00F23452">
              <w:rPr>
                <w:spacing w:val="2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konfiguráció).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" w:line="254" w:lineRule="auto"/>
              <w:ind w:right="560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A közoktatási intézmények szervezeti sajátosságai: az erőforrás-allokáció, a vezetői felelősség az intézmény-fenntartó viszonylatában, a szervezet egyedi és rendszerszintű létezése.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5" w:line="254" w:lineRule="auto"/>
              <w:ind w:right="929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Szervezeti célok: a célok hierarchiája. A célmegvalósítás folyamata: a</w:t>
            </w:r>
            <w:r w:rsidRPr="00F23452">
              <w:rPr>
                <w:spacing w:val="-37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technológiai folyamat.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"/>
              <w:ind w:left="729" w:hanging="347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A szervezetek formális és informális szintje: </w:t>
            </w:r>
            <w:proofErr w:type="spellStart"/>
            <w:r w:rsidRPr="00F23452">
              <w:rPr>
                <w:sz w:val="24"/>
                <w:lang w:val="hu-HU"/>
              </w:rPr>
              <w:t>organogram</w:t>
            </w:r>
            <w:proofErr w:type="spellEnd"/>
            <w:r w:rsidRPr="00F23452">
              <w:rPr>
                <w:sz w:val="24"/>
                <w:lang w:val="hu-HU"/>
              </w:rPr>
              <w:t xml:space="preserve"> és tényleges</w:t>
            </w:r>
            <w:r w:rsidRPr="00F23452">
              <w:rPr>
                <w:spacing w:val="1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működés.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2"/>
              <w:ind w:left="729" w:hanging="347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A szervezeti légkör, a szervezeti kultúra</w:t>
            </w:r>
            <w:r w:rsidRPr="00F23452">
              <w:rPr>
                <w:spacing w:val="-12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fogalma.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6" w:line="254" w:lineRule="auto"/>
              <w:ind w:right="134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A nevelési intézmények szervezeti sajátosságai: a pedagógiai folyamat, </w:t>
            </w:r>
            <w:r w:rsidRPr="00F23452">
              <w:rPr>
                <w:spacing w:val="-4"/>
                <w:sz w:val="24"/>
                <w:lang w:val="hu-HU"/>
              </w:rPr>
              <w:t xml:space="preserve">mint </w:t>
            </w:r>
            <w:r w:rsidRPr="00F23452">
              <w:rPr>
                <w:sz w:val="24"/>
                <w:lang w:val="hu-HU"/>
              </w:rPr>
              <w:t xml:space="preserve">technológia, a </w:t>
            </w:r>
            <w:proofErr w:type="gramStart"/>
            <w:r w:rsidRPr="00F23452">
              <w:rPr>
                <w:sz w:val="24"/>
                <w:lang w:val="hu-HU"/>
              </w:rPr>
              <w:t>nevelés</w:t>
            </w:r>
            <w:proofErr w:type="gramEnd"/>
            <w:r w:rsidRPr="00F23452">
              <w:rPr>
                <w:sz w:val="24"/>
                <w:lang w:val="hu-HU"/>
              </w:rPr>
              <w:t xml:space="preserve"> </w:t>
            </w:r>
            <w:r w:rsidRPr="00F23452">
              <w:rPr>
                <w:spacing w:val="-4"/>
                <w:sz w:val="24"/>
                <w:lang w:val="hu-HU"/>
              </w:rPr>
              <w:t xml:space="preserve">mint </w:t>
            </w:r>
            <w:r w:rsidRPr="00F23452">
              <w:rPr>
                <w:sz w:val="24"/>
                <w:lang w:val="hu-HU"/>
              </w:rPr>
              <w:t>projektjellegű</w:t>
            </w:r>
            <w:r w:rsidRPr="00F23452">
              <w:rPr>
                <w:spacing w:val="17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szolgáltatás.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6" w:line="254" w:lineRule="auto"/>
              <w:ind w:right="434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Szervezeti változás, szervezeti tanulás. A szervezeti változások típusai: inkrementális és radikális változások. </w:t>
            </w:r>
            <w:r w:rsidRPr="00F23452">
              <w:rPr>
                <w:spacing w:val="-3"/>
                <w:sz w:val="24"/>
                <w:lang w:val="hu-HU"/>
              </w:rPr>
              <w:t xml:space="preserve">Az </w:t>
            </w:r>
            <w:proofErr w:type="gramStart"/>
            <w:r w:rsidRPr="00F23452">
              <w:rPr>
                <w:sz w:val="24"/>
                <w:lang w:val="hu-HU"/>
              </w:rPr>
              <w:t>iskola</w:t>
            </w:r>
            <w:proofErr w:type="gramEnd"/>
            <w:r w:rsidRPr="00F23452">
              <w:rPr>
                <w:sz w:val="24"/>
                <w:lang w:val="hu-HU"/>
              </w:rPr>
              <w:t xml:space="preserve"> </w:t>
            </w:r>
            <w:r w:rsidRPr="00F23452">
              <w:rPr>
                <w:spacing w:val="-4"/>
                <w:sz w:val="24"/>
                <w:lang w:val="hu-HU"/>
              </w:rPr>
              <w:t xml:space="preserve">mint </w:t>
            </w:r>
            <w:r w:rsidRPr="00F23452">
              <w:rPr>
                <w:sz w:val="24"/>
                <w:lang w:val="hu-HU"/>
              </w:rPr>
              <w:t>tanuló</w:t>
            </w:r>
            <w:r w:rsidRPr="00F23452">
              <w:rPr>
                <w:spacing w:val="35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szervezet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59" w:lineRule="auto"/>
              <w:ind w:right="1029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Változásvezetési taktikák: a </w:t>
            </w:r>
            <w:proofErr w:type="spellStart"/>
            <w:r w:rsidRPr="00F23452">
              <w:rPr>
                <w:sz w:val="24"/>
                <w:lang w:val="hu-HU"/>
              </w:rPr>
              <w:t>Nutt-</w:t>
            </w:r>
            <w:proofErr w:type="spellEnd"/>
            <w:r w:rsidRPr="00F23452">
              <w:rPr>
                <w:sz w:val="24"/>
                <w:lang w:val="hu-HU"/>
              </w:rPr>
              <w:t xml:space="preserve"> és a </w:t>
            </w:r>
            <w:proofErr w:type="spellStart"/>
            <w:r w:rsidRPr="00F23452">
              <w:rPr>
                <w:sz w:val="24"/>
                <w:lang w:val="hu-HU"/>
              </w:rPr>
              <w:t>Zaltman-Duncan-féle</w:t>
            </w:r>
            <w:proofErr w:type="spellEnd"/>
            <w:r w:rsidRPr="00F23452">
              <w:rPr>
                <w:sz w:val="24"/>
                <w:lang w:val="hu-HU"/>
              </w:rPr>
              <w:t xml:space="preserve"> taktika alkalmazási</w:t>
            </w:r>
            <w:r w:rsidRPr="00F23452">
              <w:rPr>
                <w:spacing w:val="-31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a közoktatási intézmények</w:t>
            </w:r>
            <w:r w:rsidRPr="00F23452">
              <w:rPr>
                <w:spacing w:val="-1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szervezetfejlesztésében.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54" w:lineRule="auto"/>
              <w:ind w:right="1476" w:hanging="360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Vezetői szerepek és taktikák a szervezetfejlesztésben. A közoktatási rendszer menedzsmentjellegzetességei.</w:t>
            </w:r>
          </w:p>
          <w:p w:rsidR="00F23452" w:rsidRPr="00F23452" w:rsidRDefault="00F23452" w:rsidP="00F23452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ind w:left="729" w:hanging="347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Vezetői szerepek és esélyek az</w:t>
            </w:r>
            <w:r w:rsidRPr="00F23452">
              <w:rPr>
                <w:spacing w:val="1"/>
                <w:sz w:val="24"/>
                <w:lang w:val="hu-HU"/>
              </w:rPr>
              <w:t xml:space="preserve"> </w:t>
            </w:r>
            <w:r w:rsidRPr="00F23452">
              <w:rPr>
                <w:sz w:val="24"/>
                <w:lang w:val="hu-HU"/>
              </w:rPr>
              <w:t>iskolában.</w:t>
            </w:r>
          </w:p>
          <w:p w:rsidR="00F23452" w:rsidRPr="00F23452" w:rsidRDefault="00F23452" w:rsidP="00F23452">
            <w:pPr>
              <w:pStyle w:val="TableParagraph"/>
              <w:spacing w:before="4"/>
              <w:rPr>
                <w:b/>
                <w:sz w:val="27"/>
                <w:lang w:val="hu-HU"/>
              </w:rPr>
            </w:pPr>
          </w:p>
          <w:p w:rsidR="00F23452" w:rsidRPr="00F23452" w:rsidRDefault="00F23452" w:rsidP="00F23452">
            <w:pPr>
              <w:pStyle w:val="TableParagraph"/>
              <w:ind w:left="283"/>
              <w:rPr>
                <w:b/>
                <w:sz w:val="24"/>
                <w:lang w:val="hu-HU"/>
              </w:rPr>
            </w:pPr>
            <w:r w:rsidRPr="00F23452">
              <w:rPr>
                <w:b/>
                <w:sz w:val="24"/>
                <w:lang w:val="hu-HU"/>
              </w:rPr>
              <w:t>Szakirodalom:</w:t>
            </w:r>
          </w:p>
          <w:p w:rsidR="00F23452" w:rsidRPr="00F23452" w:rsidRDefault="00F23452" w:rsidP="00F23452">
            <w:pPr>
              <w:pStyle w:val="TableParagraph"/>
              <w:spacing w:before="10"/>
              <w:rPr>
                <w:b/>
                <w:sz w:val="26"/>
                <w:lang w:val="hu-HU"/>
              </w:rPr>
            </w:pPr>
          </w:p>
          <w:p w:rsidR="00F23452" w:rsidRPr="00F23452" w:rsidRDefault="00F23452" w:rsidP="00F23452">
            <w:pPr>
              <w:pStyle w:val="TableParagraph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2011. évi CXC. törvény a nemzeti köznevelésről.</w:t>
            </w:r>
          </w:p>
          <w:p w:rsidR="00F23452" w:rsidRPr="00F23452" w:rsidRDefault="00F23452" w:rsidP="00F23452">
            <w:pPr>
              <w:pStyle w:val="TableParagraph"/>
              <w:spacing w:before="17" w:line="259" w:lineRule="auto"/>
              <w:ind w:left="567" w:right="851"/>
              <w:jc w:val="both"/>
              <w:rPr>
                <w:sz w:val="24"/>
                <w:lang w:val="hu-HU"/>
              </w:rPr>
            </w:pPr>
            <w:proofErr w:type="spellStart"/>
            <w:r w:rsidRPr="00F23452">
              <w:rPr>
                <w:sz w:val="24"/>
                <w:lang w:val="hu-HU"/>
              </w:rPr>
              <w:t>Bakacsi</w:t>
            </w:r>
            <w:proofErr w:type="spellEnd"/>
            <w:r w:rsidRPr="00F23452">
              <w:rPr>
                <w:sz w:val="24"/>
                <w:lang w:val="hu-HU"/>
              </w:rPr>
              <w:t xml:space="preserve"> Gyula 2003. Szervezeti magatartás és vezetés. Közgazdasági és Jogi Könyvkiadó, Budapest.</w:t>
            </w:r>
          </w:p>
          <w:p w:rsidR="00F23452" w:rsidRPr="00F23452" w:rsidRDefault="00F23452" w:rsidP="00F23452">
            <w:pPr>
              <w:pStyle w:val="TableParagraph"/>
              <w:spacing w:line="254" w:lineRule="auto"/>
              <w:ind w:left="567" w:right="851" w:hanging="42"/>
              <w:jc w:val="both"/>
              <w:rPr>
                <w:sz w:val="24"/>
                <w:lang w:val="hu-HU"/>
              </w:rPr>
            </w:pPr>
            <w:proofErr w:type="spellStart"/>
            <w:r w:rsidRPr="00F23452">
              <w:rPr>
                <w:sz w:val="24"/>
                <w:lang w:val="hu-HU"/>
              </w:rPr>
              <w:t>Dinya</w:t>
            </w:r>
            <w:proofErr w:type="spellEnd"/>
            <w:r w:rsidRPr="00F23452">
              <w:rPr>
                <w:sz w:val="24"/>
                <w:lang w:val="hu-HU"/>
              </w:rPr>
              <w:t xml:space="preserve"> László – Antal Zsuzsanna 2013: Vezetés és szerve</w:t>
            </w:r>
            <w:r>
              <w:rPr>
                <w:sz w:val="24"/>
                <w:lang w:val="hu-HU"/>
              </w:rPr>
              <w:t xml:space="preserve">zés. Szervezetek kialakítása és </w:t>
            </w:r>
            <w:r w:rsidRPr="00F23452">
              <w:rPr>
                <w:sz w:val="24"/>
                <w:lang w:val="hu-HU"/>
              </w:rPr>
              <w:t>működtetése. Akadémiai Kiadó, Budapest.</w:t>
            </w:r>
          </w:p>
          <w:p w:rsidR="00F23452" w:rsidRPr="00F23452" w:rsidRDefault="00F23452" w:rsidP="00F23452">
            <w:pPr>
              <w:pStyle w:val="TableParagraph"/>
              <w:spacing w:line="254" w:lineRule="auto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Gáspár László 1999: A pedagógiai folyamattervezés elméleti és gyakorlati kérdései. KLTE </w:t>
            </w:r>
            <w:proofErr w:type="spellStart"/>
            <w:r w:rsidRPr="00F23452">
              <w:rPr>
                <w:sz w:val="24"/>
                <w:lang w:val="hu-HU"/>
              </w:rPr>
              <w:t>Szociál-</w:t>
            </w:r>
            <w:proofErr w:type="spellEnd"/>
            <w:r w:rsidRPr="00F23452">
              <w:rPr>
                <w:sz w:val="24"/>
                <w:lang w:val="hu-HU"/>
              </w:rPr>
              <w:t xml:space="preserve"> és munkapszichológiai Tanszék, Debrecen.</w:t>
            </w:r>
          </w:p>
          <w:p w:rsidR="00F23452" w:rsidRPr="00F23452" w:rsidRDefault="00F23452" w:rsidP="00F23452">
            <w:pPr>
              <w:pStyle w:val="TableParagraph"/>
              <w:spacing w:line="259" w:lineRule="auto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Hoffmann Rózsa 2005. Vezetés pedagógusszemmel. Nemzeti tankönyvkiadó, Budapest. Klein Sándor 2006. A szervezet lelke. </w:t>
            </w:r>
            <w:proofErr w:type="spellStart"/>
            <w:r w:rsidRPr="00F23452">
              <w:rPr>
                <w:sz w:val="24"/>
                <w:lang w:val="hu-HU"/>
              </w:rPr>
              <w:t>Edge</w:t>
            </w:r>
            <w:proofErr w:type="spellEnd"/>
            <w:r w:rsidRPr="00F23452">
              <w:rPr>
                <w:sz w:val="24"/>
                <w:lang w:val="hu-HU"/>
              </w:rPr>
              <w:t xml:space="preserve"> 2000. Kiadó, Budapest.</w:t>
            </w:r>
          </w:p>
          <w:p w:rsidR="00F23452" w:rsidRPr="00F23452" w:rsidRDefault="00F23452" w:rsidP="00F23452">
            <w:pPr>
              <w:pStyle w:val="TableParagraph"/>
              <w:spacing w:line="270" w:lineRule="exact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 xml:space="preserve">Klein Sándor 2007. Vezetés- és szervezetpszichológia. </w:t>
            </w:r>
            <w:proofErr w:type="spellStart"/>
            <w:r w:rsidRPr="00F23452">
              <w:rPr>
                <w:sz w:val="24"/>
                <w:lang w:val="hu-HU"/>
              </w:rPr>
              <w:t>Edge</w:t>
            </w:r>
            <w:proofErr w:type="spellEnd"/>
            <w:r w:rsidRPr="00F23452">
              <w:rPr>
                <w:sz w:val="24"/>
                <w:lang w:val="hu-HU"/>
              </w:rPr>
              <w:t xml:space="preserve"> 2000. Kiadó, Budapest.</w:t>
            </w:r>
          </w:p>
          <w:p w:rsidR="00F23452" w:rsidRPr="00F23452" w:rsidRDefault="00F23452" w:rsidP="00F23452">
            <w:pPr>
              <w:pStyle w:val="TableParagraph"/>
              <w:spacing w:before="17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i/>
                <w:sz w:val="24"/>
                <w:lang w:val="hu-HU"/>
              </w:rPr>
              <w:t xml:space="preserve">Oktatásmenedzsment. </w:t>
            </w:r>
            <w:r w:rsidRPr="00F23452">
              <w:rPr>
                <w:sz w:val="24"/>
                <w:lang w:val="hu-HU"/>
              </w:rPr>
              <w:t>(Szerkesztette: Balázs Éva) OKKER Kiadó, Budapest.</w:t>
            </w:r>
          </w:p>
          <w:p w:rsidR="00F23452" w:rsidRPr="00F23452" w:rsidRDefault="00F23452" w:rsidP="00F23452">
            <w:pPr>
              <w:pStyle w:val="TableParagraph"/>
              <w:spacing w:before="22" w:line="254" w:lineRule="auto"/>
              <w:ind w:left="567" w:right="851"/>
              <w:jc w:val="both"/>
              <w:rPr>
                <w:sz w:val="24"/>
                <w:lang w:val="hu-HU"/>
              </w:rPr>
            </w:pPr>
            <w:proofErr w:type="spellStart"/>
            <w:r w:rsidRPr="00F23452">
              <w:rPr>
                <w:sz w:val="24"/>
                <w:lang w:val="hu-HU"/>
              </w:rPr>
              <w:t>Perrow</w:t>
            </w:r>
            <w:proofErr w:type="spellEnd"/>
            <w:r w:rsidRPr="00F23452">
              <w:rPr>
                <w:sz w:val="24"/>
                <w:lang w:val="hu-HU"/>
              </w:rPr>
              <w:t xml:space="preserve">, Charles 1994. Szervezetszociológia. </w:t>
            </w:r>
            <w:proofErr w:type="spellStart"/>
            <w:r w:rsidRPr="00F23452">
              <w:rPr>
                <w:sz w:val="24"/>
                <w:lang w:val="hu-HU"/>
              </w:rPr>
              <w:t>Osiris-Századvég</w:t>
            </w:r>
            <w:proofErr w:type="spellEnd"/>
            <w:r w:rsidRPr="00F23452">
              <w:rPr>
                <w:sz w:val="24"/>
                <w:lang w:val="hu-HU"/>
              </w:rPr>
              <w:t xml:space="preserve"> – </w:t>
            </w:r>
            <w:proofErr w:type="spellStart"/>
            <w:r w:rsidRPr="00F23452">
              <w:rPr>
                <w:sz w:val="24"/>
                <w:lang w:val="hu-HU"/>
              </w:rPr>
              <w:t>Panem</w:t>
            </w:r>
            <w:proofErr w:type="spellEnd"/>
            <w:r w:rsidRPr="00F23452">
              <w:rPr>
                <w:sz w:val="24"/>
                <w:lang w:val="hu-HU"/>
              </w:rPr>
              <w:t>–</w:t>
            </w:r>
            <w:proofErr w:type="spellStart"/>
            <w:r w:rsidRPr="00F23452">
              <w:rPr>
                <w:sz w:val="24"/>
                <w:lang w:val="hu-HU"/>
              </w:rPr>
              <w:t>McGraw-Hill</w:t>
            </w:r>
            <w:proofErr w:type="spellEnd"/>
            <w:r w:rsidRPr="00F23452">
              <w:rPr>
                <w:sz w:val="24"/>
                <w:lang w:val="hu-HU"/>
              </w:rPr>
              <w:t>, Budapest</w:t>
            </w:r>
          </w:p>
          <w:p w:rsidR="00F23452" w:rsidRPr="00F23452" w:rsidRDefault="00F23452" w:rsidP="00F23452">
            <w:pPr>
              <w:pStyle w:val="TableParagraph"/>
              <w:tabs>
                <w:tab w:val="left" w:pos="9923"/>
              </w:tabs>
              <w:spacing w:line="259" w:lineRule="auto"/>
              <w:ind w:left="567" w:right="851"/>
              <w:jc w:val="both"/>
              <w:rPr>
                <w:sz w:val="24"/>
                <w:lang w:val="hu-HU"/>
              </w:rPr>
            </w:pPr>
            <w:proofErr w:type="spellStart"/>
            <w:r w:rsidRPr="00F23452">
              <w:rPr>
                <w:sz w:val="24"/>
                <w:lang w:val="hu-HU"/>
              </w:rPr>
              <w:t>Sveiby</w:t>
            </w:r>
            <w:proofErr w:type="spellEnd"/>
            <w:r w:rsidRPr="00F23452">
              <w:rPr>
                <w:sz w:val="24"/>
                <w:lang w:val="hu-HU"/>
              </w:rPr>
              <w:t xml:space="preserve">, Karl Erik 2001: Szervezetek új gazdagsága: a menedzselt tudás. KJK </w:t>
            </w:r>
            <w:proofErr w:type="spellStart"/>
            <w:r w:rsidRPr="00F23452">
              <w:rPr>
                <w:sz w:val="24"/>
                <w:lang w:val="hu-HU"/>
              </w:rPr>
              <w:t>Kerszöv</w:t>
            </w:r>
            <w:proofErr w:type="spellEnd"/>
            <w:r w:rsidRPr="00F23452">
              <w:rPr>
                <w:sz w:val="24"/>
                <w:lang w:val="hu-HU"/>
              </w:rPr>
              <w:t xml:space="preserve"> Kiadó, Budapest.</w:t>
            </w:r>
          </w:p>
          <w:p w:rsidR="00F23452" w:rsidRPr="00F23452" w:rsidRDefault="00F23452" w:rsidP="00F23452">
            <w:pPr>
              <w:pStyle w:val="TableParagraph"/>
              <w:spacing w:line="270" w:lineRule="exact"/>
              <w:ind w:left="567" w:right="851"/>
              <w:jc w:val="both"/>
              <w:rPr>
                <w:sz w:val="24"/>
                <w:lang w:val="hu-HU"/>
              </w:rPr>
            </w:pPr>
            <w:proofErr w:type="spellStart"/>
            <w:r w:rsidRPr="00F23452">
              <w:rPr>
                <w:sz w:val="24"/>
                <w:lang w:val="hu-HU"/>
              </w:rPr>
              <w:t>Szintay</w:t>
            </w:r>
            <w:proofErr w:type="spellEnd"/>
            <w:r w:rsidRPr="00F23452">
              <w:rPr>
                <w:sz w:val="24"/>
                <w:lang w:val="hu-HU"/>
              </w:rPr>
              <w:t xml:space="preserve"> István 2003. Vezetéselmélet. Bíbor Kiadó, Miskolc.</w:t>
            </w:r>
          </w:p>
          <w:p w:rsidR="00F23452" w:rsidRPr="00F23452" w:rsidRDefault="00F23452" w:rsidP="00F23452">
            <w:pPr>
              <w:pStyle w:val="TableParagraph"/>
              <w:spacing w:before="17"/>
              <w:ind w:left="567" w:right="851"/>
              <w:jc w:val="both"/>
              <w:rPr>
                <w:sz w:val="24"/>
                <w:lang w:val="hu-HU"/>
              </w:rPr>
            </w:pPr>
            <w:r w:rsidRPr="00F23452">
              <w:rPr>
                <w:sz w:val="24"/>
                <w:lang w:val="hu-HU"/>
              </w:rPr>
              <w:t>Veres Zoltán 1998. Szolgáltatásmarketing. Műszaki Könyvkiadó, Budapest.</w:t>
            </w:r>
          </w:p>
        </w:tc>
      </w:tr>
    </w:tbl>
    <w:p w:rsidR="00823088" w:rsidRDefault="00823088" w:rsidP="00F23452">
      <w:bookmarkStart w:id="0" w:name="_GoBack"/>
      <w:bookmarkEnd w:id="0"/>
    </w:p>
    <w:sectPr w:rsidR="00823088" w:rsidSect="00F23452">
      <w:pgSz w:w="11906" w:h="16838"/>
      <w:pgMar w:top="709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F8" w:rsidRDefault="005450F8" w:rsidP="00F23452">
      <w:r>
        <w:separator/>
      </w:r>
    </w:p>
  </w:endnote>
  <w:endnote w:type="continuationSeparator" w:id="0">
    <w:p w:rsidR="005450F8" w:rsidRDefault="005450F8" w:rsidP="00F2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F8" w:rsidRDefault="005450F8" w:rsidP="00F23452">
      <w:r>
        <w:separator/>
      </w:r>
    </w:p>
  </w:footnote>
  <w:footnote w:type="continuationSeparator" w:id="0">
    <w:p w:rsidR="005450F8" w:rsidRDefault="005450F8" w:rsidP="00F2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83C"/>
    <w:multiLevelType w:val="hybridMultilevel"/>
    <w:tmpl w:val="B9F6AB34"/>
    <w:lvl w:ilvl="0" w:tplc="6E82D4CC">
      <w:start w:val="1"/>
      <w:numFmt w:val="decimal"/>
      <w:lvlText w:val="%1."/>
      <w:lvlJc w:val="left"/>
      <w:pPr>
        <w:ind w:left="74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32C889AE">
      <w:numFmt w:val="bullet"/>
      <w:lvlText w:val="•"/>
      <w:lvlJc w:val="left"/>
      <w:pPr>
        <w:ind w:left="1629" w:hanging="346"/>
      </w:pPr>
      <w:rPr>
        <w:rFonts w:hint="default"/>
        <w:lang w:val="hu-HU" w:eastAsia="hu-HU" w:bidi="hu-HU"/>
      </w:rPr>
    </w:lvl>
    <w:lvl w:ilvl="2" w:tplc="41B2B192">
      <w:numFmt w:val="bullet"/>
      <w:lvlText w:val="•"/>
      <w:lvlJc w:val="left"/>
      <w:pPr>
        <w:ind w:left="2518" w:hanging="346"/>
      </w:pPr>
      <w:rPr>
        <w:rFonts w:hint="default"/>
        <w:lang w:val="hu-HU" w:eastAsia="hu-HU" w:bidi="hu-HU"/>
      </w:rPr>
    </w:lvl>
    <w:lvl w:ilvl="3" w:tplc="BA26F354">
      <w:numFmt w:val="bullet"/>
      <w:lvlText w:val="•"/>
      <w:lvlJc w:val="left"/>
      <w:pPr>
        <w:ind w:left="3407" w:hanging="346"/>
      </w:pPr>
      <w:rPr>
        <w:rFonts w:hint="default"/>
        <w:lang w:val="hu-HU" w:eastAsia="hu-HU" w:bidi="hu-HU"/>
      </w:rPr>
    </w:lvl>
    <w:lvl w:ilvl="4" w:tplc="921CD01A">
      <w:numFmt w:val="bullet"/>
      <w:lvlText w:val="•"/>
      <w:lvlJc w:val="left"/>
      <w:pPr>
        <w:ind w:left="4296" w:hanging="346"/>
      </w:pPr>
      <w:rPr>
        <w:rFonts w:hint="default"/>
        <w:lang w:val="hu-HU" w:eastAsia="hu-HU" w:bidi="hu-HU"/>
      </w:rPr>
    </w:lvl>
    <w:lvl w:ilvl="5" w:tplc="F1863E30">
      <w:numFmt w:val="bullet"/>
      <w:lvlText w:val="•"/>
      <w:lvlJc w:val="left"/>
      <w:pPr>
        <w:ind w:left="5185" w:hanging="346"/>
      </w:pPr>
      <w:rPr>
        <w:rFonts w:hint="default"/>
        <w:lang w:val="hu-HU" w:eastAsia="hu-HU" w:bidi="hu-HU"/>
      </w:rPr>
    </w:lvl>
    <w:lvl w:ilvl="6" w:tplc="22CAEDEC">
      <w:numFmt w:val="bullet"/>
      <w:lvlText w:val="•"/>
      <w:lvlJc w:val="left"/>
      <w:pPr>
        <w:ind w:left="6074" w:hanging="346"/>
      </w:pPr>
      <w:rPr>
        <w:rFonts w:hint="default"/>
        <w:lang w:val="hu-HU" w:eastAsia="hu-HU" w:bidi="hu-HU"/>
      </w:rPr>
    </w:lvl>
    <w:lvl w:ilvl="7" w:tplc="1A7685A4">
      <w:numFmt w:val="bullet"/>
      <w:lvlText w:val="•"/>
      <w:lvlJc w:val="left"/>
      <w:pPr>
        <w:ind w:left="6963" w:hanging="346"/>
      </w:pPr>
      <w:rPr>
        <w:rFonts w:hint="default"/>
        <w:lang w:val="hu-HU" w:eastAsia="hu-HU" w:bidi="hu-HU"/>
      </w:rPr>
    </w:lvl>
    <w:lvl w:ilvl="8" w:tplc="5F7C987C">
      <w:numFmt w:val="bullet"/>
      <w:lvlText w:val="•"/>
      <w:lvlJc w:val="left"/>
      <w:pPr>
        <w:ind w:left="7852" w:hanging="34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5450F8"/>
    <w:rsid w:val="006F0F75"/>
    <w:rsid w:val="00823088"/>
    <w:rsid w:val="00C000BD"/>
    <w:rsid w:val="00D6307A"/>
    <w:rsid w:val="00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23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23452"/>
  </w:style>
  <w:style w:type="paragraph" w:styleId="lfej">
    <w:name w:val="header"/>
    <w:basedOn w:val="Norml"/>
    <w:link w:val="lfejChar"/>
    <w:uiPriority w:val="99"/>
    <w:unhideWhenUsed/>
    <w:rsid w:val="00F234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3452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F234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3452"/>
    <w:rPr>
      <w:rFonts w:ascii="Times New Roman" w:eastAsia="Times New Roman" w:hAnsi="Times New Roman" w:cs="Times New Roman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23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23452"/>
  </w:style>
  <w:style w:type="paragraph" w:styleId="lfej">
    <w:name w:val="header"/>
    <w:basedOn w:val="Norml"/>
    <w:link w:val="lfejChar"/>
    <w:uiPriority w:val="99"/>
    <w:unhideWhenUsed/>
    <w:rsid w:val="00F234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3452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F234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3452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3A08-D4E8-4B7A-9ABD-ADABD9C4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2020-03-30T14:06:00Z</dcterms:created>
  <dcterms:modified xsi:type="dcterms:W3CDTF">2020-03-30T15:33:00Z</dcterms:modified>
</cp:coreProperties>
</file>