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12"/>
        <w:gridCol w:w="1533"/>
        <w:gridCol w:w="1529"/>
        <w:gridCol w:w="2199"/>
        <w:gridCol w:w="1809"/>
      </w:tblGrid>
      <w:tr w:rsidR="00770D13" w:rsidRPr="00770D13" w:rsidTr="00770D13">
        <w:trPr>
          <w:trHeight w:val="690"/>
        </w:trPr>
        <w:tc>
          <w:tcPr>
            <w:tcW w:w="1126" w:type="pct"/>
            <w:shd w:val="clear" w:color="auto" w:fill="F2F2F2" w:themeFill="background1" w:themeFillShade="F2"/>
          </w:tcPr>
          <w:p w:rsidR="00770D13" w:rsidRPr="00770D13" w:rsidRDefault="00770D13" w:rsidP="004E0E7F">
            <w:pPr>
              <w:pStyle w:val="TableParagraph"/>
              <w:spacing w:before="13"/>
              <w:ind w:left="66"/>
              <w:rPr>
                <w:b/>
                <w:sz w:val="24"/>
                <w:lang w:val="hu-HU"/>
              </w:rPr>
            </w:pPr>
            <w:r w:rsidRPr="00770D13">
              <w:rPr>
                <w:b/>
                <w:sz w:val="24"/>
                <w:lang w:val="hu-HU"/>
              </w:rPr>
              <w:t>Kód:</w:t>
            </w:r>
          </w:p>
          <w:p w:rsidR="00770D13" w:rsidRPr="00770D13" w:rsidRDefault="00770D13" w:rsidP="004E0E7F">
            <w:pPr>
              <w:pStyle w:val="TableParagraph"/>
              <w:spacing w:before="17"/>
              <w:ind w:left="66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SZSP211</w:t>
            </w:r>
          </w:p>
        </w:tc>
        <w:tc>
          <w:tcPr>
            <w:tcW w:w="2950" w:type="pct"/>
            <w:gridSpan w:val="3"/>
            <w:shd w:val="clear" w:color="auto" w:fill="F2F2F2" w:themeFill="background1" w:themeFillShade="F2"/>
          </w:tcPr>
          <w:p w:rsidR="00770D13" w:rsidRPr="00770D13" w:rsidRDefault="00770D13" w:rsidP="00770D13">
            <w:pPr>
              <w:pStyle w:val="TableParagraph"/>
              <w:spacing w:line="280" w:lineRule="atLeast"/>
              <w:ind w:left="67" w:right="383"/>
              <w:rPr>
                <w:b/>
                <w:sz w:val="24"/>
                <w:lang w:val="hu-HU"/>
              </w:rPr>
            </w:pPr>
            <w:r w:rsidRPr="00770D13">
              <w:rPr>
                <w:b/>
                <w:w w:val="115"/>
                <w:sz w:val="24"/>
                <w:lang w:val="hu-HU"/>
              </w:rPr>
              <w:t>Sajátos nevelési igényű gyerekek nevelése, oktatása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:rsidR="00770D13" w:rsidRPr="00770D13" w:rsidRDefault="00770D13" w:rsidP="004E0E7F">
            <w:pPr>
              <w:pStyle w:val="TableParagraph"/>
              <w:spacing w:before="13"/>
              <w:ind w:left="52" w:right="219"/>
              <w:jc w:val="center"/>
              <w:rPr>
                <w:b/>
                <w:sz w:val="24"/>
                <w:lang w:val="hu-HU"/>
              </w:rPr>
            </w:pPr>
            <w:r w:rsidRPr="00770D13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770D13" w:rsidRPr="00770D13" w:rsidRDefault="00770D13" w:rsidP="004E0E7F">
            <w:pPr>
              <w:pStyle w:val="TableParagraph"/>
              <w:spacing w:before="17"/>
              <w:ind w:left="11"/>
              <w:jc w:val="center"/>
              <w:rPr>
                <w:sz w:val="24"/>
                <w:lang w:val="hu-HU"/>
              </w:rPr>
            </w:pPr>
            <w:r w:rsidRPr="00770D13">
              <w:rPr>
                <w:w w:val="119"/>
                <w:sz w:val="24"/>
                <w:lang w:val="hu-HU"/>
              </w:rPr>
              <w:t>4</w:t>
            </w:r>
          </w:p>
        </w:tc>
      </w:tr>
      <w:tr w:rsidR="00770D13" w:rsidRPr="00770D13" w:rsidTr="00770D13">
        <w:trPr>
          <w:trHeight w:val="614"/>
        </w:trPr>
        <w:tc>
          <w:tcPr>
            <w:tcW w:w="1126" w:type="pct"/>
            <w:shd w:val="clear" w:color="auto" w:fill="F2F2F2" w:themeFill="background1" w:themeFillShade="F2"/>
          </w:tcPr>
          <w:p w:rsidR="00770D13" w:rsidRPr="00770D13" w:rsidRDefault="00770D13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770D13">
              <w:rPr>
                <w:b/>
                <w:sz w:val="24"/>
                <w:lang w:val="hu-HU"/>
              </w:rPr>
              <w:t>Választhatóság:</w:t>
            </w:r>
          </w:p>
          <w:p w:rsidR="00770D13" w:rsidRPr="00770D13" w:rsidRDefault="00770D13" w:rsidP="004E0E7F">
            <w:pPr>
              <w:pStyle w:val="TableParagraph"/>
              <w:spacing w:before="17"/>
              <w:ind w:left="23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kötelező</w:t>
            </w:r>
          </w:p>
        </w:tc>
        <w:tc>
          <w:tcPr>
            <w:tcW w:w="862" w:type="pct"/>
            <w:shd w:val="clear" w:color="auto" w:fill="F2F2F2" w:themeFill="background1" w:themeFillShade="F2"/>
          </w:tcPr>
          <w:p w:rsidR="00770D13" w:rsidRPr="00770D13" w:rsidRDefault="00770D13" w:rsidP="004E0E7F">
            <w:pPr>
              <w:pStyle w:val="TableParagraph"/>
              <w:spacing w:before="13"/>
              <w:ind w:left="28"/>
              <w:rPr>
                <w:b/>
                <w:sz w:val="24"/>
                <w:lang w:val="hu-HU"/>
              </w:rPr>
            </w:pPr>
            <w:r w:rsidRPr="00770D13">
              <w:rPr>
                <w:b/>
                <w:sz w:val="24"/>
                <w:lang w:val="hu-HU"/>
              </w:rPr>
              <w:t>Heti óraszám:</w:t>
            </w:r>
          </w:p>
          <w:p w:rsidR="00770D13" w:rsidRPr="00770D13" w:rsidRDefault="00770D13" w:rsidP="004E0E7F">
            <w:pPr>
              <w:pStyle w:val="TableParagraph"/>
              <w:spacing w:before="17"/>
              <w:ind w:left="28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15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770D13" w:rsidRPr="00770D13" w:rsidRDefault="00770D13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770D13">
              <w:rPr>
                <w:b/>
                <w:sz w:val="24"/>
                <w:lang w:val="hu-HU"/>
              </w:rPr>
              <w:t>Kurzuszárás:</w:t>
            </w:r>
          </w:p>
          <w:p w:rsidR="00770D13" w:rsidRPr="00770D13" w:rsidRDefault="00770D13" w:rsidP="004E0E7F">
            <w:pPr>
              <w:pStyle w:val="TableParagraph"/>
              <w:spacing w:before="17"/>
              <w:ind w:left="23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kollokvium</w:t>
            </w:r>
          </w:p>
        </w:tc>
        <w:tc>
          <w:tcPr>
            <w:tcW w:w="1228" w:type="pct"/>
            <w:shd w:val="clear" w:color="auto" w:fill="F2F2F2" w:themeFill="background1" w:themeFillShade="F2"/>
          </w:tcPr>
          <w:p w:rsidR="00770D13" w:rsidRPr="00770D13" w:rsidRDefault="00770D13" w:rsidP="004E0E7F">
            <w:pPr>
              <w:pStyle w:val="TableParagraph"/>
              <w:spacing w:before="13"/>
              <w:ind w:left="28"/>
              <w:rPr>
                <w:b/>
                <w:sz w:val="24"/>
                <w:lang w:val="hu-HU"/>
              </w:rPr>
            </w:pPr>
            <w:r w:rsidRPr="00770D13">
              <w:rPr>
                <w:b/>
                <w:sz w:val="24"/>
                <w:lang w:val="hu-HU"/>
              </w:rPr>
              <w:t>Tanóraforma:</w:t>
            </w:r>
          </w:p>
          <w:p w:rsidR="00770D13" w:rsidRPr="00770D13" w:rsidRDefault="00770D13" w:rsidP="004E0E7F">
            <w:pPr>
              <w:pStyle w:val="TableParagraph"/>
              <w:spacing w:before="17"/>
              <w:ind w:left="28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előadás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:rsidR="00770D13" w:rsidRPr="00770D13" w:rsidRDefault="00770D13" w:rsidP="004E0E7F">
            <w:pPr>
              <w:pStyle w:val="TableParagraph"/>
              <w:spacing w:before="13"/>
              <w:ind w:left="51" w:right="628"/>
              <w:jc w:val="center"/>
              <w:rPr>
                <w:b/>
                <w:sz w:val="24"/>
                <w:lang w:val="hu-HU"/>
              </w:rPr>
            </w:pPr>
            <w:r w:rsidRPr="00770D13">
              <w:rPr>
                <w:b/>
                <w:sz w:val="24"/>
                <w:lang w:val="hu-HU"/>
              </w:rPr>
              <w:t>Előfeltétel:</w:t>
            </w:r>
          </w:p>
          <w:p w:rsidR="00770D13" w:rsidRPr="00770D13" w:rsidRDefault="00770D13" w:rsidP="004E0E7F">
            <w:pPr>
              <w:pStyle w:val="TableParagraph"/>
              <w:spacing w:before="17"/>
              <w:ind w:left="52" w:right="96"/>
              <w:jc w:val="center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––</w:t>
            </w:r>
          </w:p>
        </w:tc>
      </w:tr>
      <w:tr w:rsidR="00770D13" w:rsidRPr="00770D13" w:rsidTr="00770D13">
        <w:trPr>
          <w:trHeight w:val="11356"/>
        </w:trPr>
        <w:tc>
          <w:tcPr>
            <w:tcW w:w="5000" w:type="pct"/>
            <w:gridSpan w:val="5"/>
          </w:tcPr>
          <w:p w:rsidR="001B4172" w:rsidRDefault="001B4172" w:rsidP="00770D13">
            <w:pPr>
              <w:pStyle w:val="TableParagraph"/>
              <w:spacing w:before="13"/>
              <w:ind w:left="289"/>
              <w:rPr>
                <w:b/>
                <w:sz w:val="24"/>
                <w:lang w:val="hu-HU"/>
              </w:rPr>
            </w:pPr>
          </w:p>
          <w:p w:rsidR="00770D13" w:rsidRPr="00770D13" w:rsidRDefault="00770D13" w:rsidP="001B4172">
            <w:pPr>
              <w:pStyle w:val="TableParagraph"/>
              <w:spacing w:before="13"/>
              <w:ind w:left="289" w:right="430"/>
              <w:jc w:val="both"/>
              <w:rPr>
                <w:b/>
                <w:sz w:val="24"/>
                <w:lang w:val="hu-HU"/>
              </w:rPr>
            </w:pPr>
            <w:r w:rsidRPr="00770D13">
              <w:rPr>
                <w:b/>
                <w:sz w:val="24"/>
                <w:lang w:val="hu-HU"/>
              </w:rPr>
              <w:t>Tematika:</w:t>
            </w:r>
            <w:bookmarkStart w:id="0" w:name="_GoBack"/>
            <w:bookmarkEnd w:id="0"/>
          </w:p>
          <w:p w:rsidR="00770D13" w:rsidRPr="00770D13" w:rsidRDefault="00770D13" w:rsidP="001B4172">
            <w:pPr>
              <w:pStyle w:val="TableParagraph"/>
              <w:spacing w:before="3"/>
              <w:ind w:right="430"/>
              <w:jc w:val="both"/>
              <w:rPr>
                <w:sz w:val="25"/>
                <w:lang w:val="hu-HU"/>
              </w:rPr>
            </w:pP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line="242" w:lineRule="auto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 xml:space="preserve">Különleges bánásmódot </w:t>
            </w:r>
            <w:r w:rsidRPr="00770D13">
              <w:rPr>
                <w:spacing w:val="-3"/>
                <w:sz w:val="24"/>
                <w:lang w:val="hu-HU"/>
              </w:rPr>
              <w:t xml:space="preserve">igénylő </w:t>
            </w:r>
            <w:r w:rsidRPr="00770D13">
              <w:rPr>
                <w:sz w:val="24"/>
                <w:lang w:val="hu-HU"/>
              </w:rPr>
              <w:t>tanulók csoportjai és jellemzőik. Egyéb fogalmak (teljesítményzavar, alul</w:t>
            </w:r>
            <w:r>
              <w:rPr>
                <w:sz w:val="24"/>
                <w:lang w:val="hu-HU"/>
              </w:rPr>
              <w:t>-</w:t>
            </w:r>
            <w:r w:rsidRPr="00770D13">
              <w:rPr>
                <w:sz w:val="24"/>
                <w:lang w:val="hu-HU"/>
              </w:rPr>
              <w:t>ellátottság, gyenge tanulók, leszakadók).</w:t>
            </w:r>
            <w:r w:rsidRPr="00770D13">
              <w:rPr>
                <w:spacing w:val="5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Okok.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line="271" w:lineRule="exact"/>
              <w:ind w:left="729" w:right="430" w:hanging="347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A gyógypedagógia fogalmai, területei. A másság értelmezése. Társadalmi folyamatok.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before="5" w:line="237" w:lineRule="auto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A fogyatékosságok típusai, jellemzői, hatásuk az ismeretszerző funkciókra és folyamatokra, a pszichikus</w:t>
            </w:r>
            <w:r w:rsidRPr="00770D13">
              <w:rPr>
                <w:spacing w:val="4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funkciókra.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before="5" w:line="237" w:lineRule="auto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A pszichés fejlődés zavaraival küzdő gyerekek és tanulók típusai, jellemzőik, hatásuk</w:t>
            </w:r>
            <w:r w:rsidRPr="00770D13">
              <w:rPr>
                <w:spacing w:val="-36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az ismeretszerző funkciókra és folyamatokra, a pszichikus</w:t>
            </w:r>
            <w:r w:rsidRPr="00770D13">
              <w:rPr>
                <w:spacing w:val="12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funkciókra.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before="4" w:line="275" w:lineRule="exact"/>
              <w:ind w:left="729" w:right="430" w:hanging="347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 xml:space="preserve">Oktatási integráció, </w:t>
            </w:r>
            <w:proofErr w:type="spellStart"/>
            <w:r w:rsidRPr="00770D13">
              <w:rPr>
                <w:sz w:val="24"/>
                <w:lang w:val="hu-HU"/>
              </w:rPr>
              <w:t>inklúzió</w:t>
            </w:r>
            <w:proofErr w:type="spellEnd"/>
            <w:r w:rsidRPr="00770D13">
              <w:rPr>
                <w:sz w:val="24"/>
                <w:lang w:val="hu-HU"/>
              </w:rPr>
              <w:t>, szegregáció; törvények,</w:t>
            </w:r>
            <w:r w:rsidRPr="00770D13">
              <w:rPr>
                <w:spacing w:val="5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rendeletek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Egységesség és adaptivitás a tanítási-tanulási folyamatban. A pedagógus és a tanuló megváltozott szerepe. A differenciált tanulásszervezés által megkívánt, a hagyományostól eltérő pedagógus- és tanulói szerep</w:t>
            </w:r>
            <w:r w:rsidRPr="00770D13">
              <w:rPr>
                <w:spacing w:val="-2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jellemzői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spacing w:before="3" w:line="237" w:lineRule="auto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A differenciált tanulásszervezés: egységesség, differenciálás és adaptivitás a tanítási-tanulási folyamatban. A differenciált tanulásszervezéssel kapcsolatos</w:t>
            </w:r>
            <w:r w:rsidRPr="00770D13">
              <w:rPr>
                <w:spacing w:val="-8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tévképzetek</w:t>
            </w:r>
          </w:p>
          <w:p w:rsidR="00770D13" w:rsidRPr="00770D13" w:rsidRDefault="00770D13" w:rsidP="001B4172">
            <w:pPr>
              <w:pStyle w:val="TableParagraph"/>
              <w:spacing w:before="6"/>
              <w:ind w:right="430"/>
              <w:jc w:val="both"/>
              <w:rPr>
                <w:sz w:val="24"/>
                <w:lang w:val="hu-HU"/>
              </w:rPr>
            </w:pPr>
          </w:p>
          <w:p w:rsidR="00770D13" w:rsidRPr="00770D13" w:rsidRDefault="00770D13" w:rsidP="001B4172">
            <w:pPr>
              <w:pStyle w:val="TableParagraph"/>
              <w:spacing w:after="240" w:line="275" w:lineRule="exact"/>
              <w:ind w:left="289" w:right="430"/>
              <w:jc w:val="both"/>
              <w:rPr>
                <w:b/>
                <w:sz w:val="24"/>
                <w:lang w:val="hu-HU"/>
              </w:rPr>
            </w:pPr>
            <w:r w:rsidRPr="00770D13">
              <w:rPr>
                <w:b/>
                <w:sz w:val="24"/>
                <w:lang w:val="hu-HU"/>
              </w:rPr>
              <w:t>A tantárgy szakmai célkitűzése: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74" w:lineRule="exact"/>
              <w:ind w:left="729" w:right="43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Tisztázni a gyógypedagógia alapfogalmait és a gyógypedagógiát érintő</w:t>
            </w:r>
            <w:r w:rsidRPr="00770D13">
              <w:rPr>
                <w:spacing w:val="7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fogalmakat.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42" w:lineRule="auto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 xml:space="preserve">Bemutatni a gyógypedagógia rendszerében elkülönült fogyatékossági területeket, a </w:t>
            </w:r>
            <w:proofErr w:type="spellStart"/>
            <w:r w:rsidRPr="00770D13">
              <w:rPr>
                <w:sz w:val="24"/>
                <w:lang w:val="hu-HU"/>
              </w:rPr>
              <w:t>részképességzavar</w:t>
            </w:r>
            <w:proofErr w:type="spellEnd"/>
            <w:r w:rsidRPr="00770D13">
              <w:rPr>
                <w:sz w:val="24"/>
                <w:lang w:val="hu-HU"/>
              </w:rPr>
              <w:t xml:space="preserve"> definícióját, legfontosabb</w:t>
            </w:r>
            <w:r w:rsidRPr="00770D13">
              <w:rPr>
                <w:spacing w:val="7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ismérveit.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71" w:lineRule="exact"/>
              <w:ind w:left="729" w:right="43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 xml:space="preserve">Rávilágítani a társadalmi </w:t>
            </w:r>
            <w:proofErr w:type="gramStart"/>
            <w:r w:rsidRPr="00770D13">
              <w:rPr>
                <w:sz w:val="24"/>
                <w:lang w:val="hu-HU"/>
              </w:rPr>
              <w:t>attitűd segítő</w:t>
            </w:r>
            <w:proofErr w:type="gramEnd"/>
            <w:r w:rsidRPr="00770D13">
              <w:rPr>
                <w:sz w:val="24"/>
                <w:lang w:val="hu-HU"/>
              </w:rPr>
              <w:t xml:space="preserve"> vagy gátló</w:t>
            </w:r>
            <w:r w:rsidRPr="00770D13">
              <w:rPr>
                <w:spacing w:val="-7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jellegére.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3" w:line="237" w:lineRule="auto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Felvázolni a sajátos nevelési szükségletű tanulók lehetőségeit az oktatási rendszerben a törvények, rendeletek tükrében.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4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Alapvető tájékozottság kialakítása az egyéni képességekhez igazodó tanulásszervezési formákról, így a cselekvéses, individuális, differenciált és kooperatív tanulási technikákról, és az önálló tanulási technikákról.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42" w:lineRule="auto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Megismertetni a Pedagógiai Szakszolgálat (Szakért</w:t>
            </w:r>
            <w:r>
              <w:rPr>
                <w:sz w:val="24"/>
                <w:lang w:val="hu-HU"/>
              </w:rPr>
              <w:t>ő</w:t>
            </w:r>
            <w:r w:rsidRPr="00770D13">
              <w:rPr>
                <w:sz w:val="24"/>
                <w:lang w:val="hu-HU"/>
              </w:rPr>
              <w:t>i Bizottságok és a Nevelési Tanácsadók) munkáját szabályozó jogszabályokat, m</w:t>
            </w:r>
            <w:r>
              <w:rPr>
                <w:sz w:val="24"/>
                <w:lang w:val="hu-HU"/>
              </w:rPr>
              <w:t>ű</w:t>
            </w:r>
            <w:r w:rsidRPr="00770D13">
              <w:rPr>
                <w:sz w:val="24"/>
                <w:lang w:val="hu-HU"/>
              </w:rPr>
              <w:t>ködési</w:t>
            </w:r>
            <w:r w:rsidRPr="00770D13">
              <w:rPr>
                <w:spacing w:val="9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praxisukat.</w:t>
            </w:r>
          </w:p>
          <w:p w:rsid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Bemutatni az integrált, inkluzív nevelésben-oktatásban résztvevők kapcsolatrendszerét, rendelkezzék átfogó ismeretekkel a gyermek, a szülő, a pedagógus, a gyógypedagógus együttműködéséről.</w:t>
            </w:r>
          </w:p>
          <w:p w:rsidR="00770D13" w:rsidRPr="00770D13" w:rsidRDefault="00770D13" w:rsidP="001B4172">
            <w:pPr>
              <w:pStyle w:val="TableParagraph"/>
              <w:tabs>
                <w:tab w:val="left" w:pos="730"/>
              </w:tabs>
              <w:ind w:left="739" w:right="430"/>
              <w:jc w:val="both"/>
              <w:rPr>
                <w:sz w:val="24"/>
                <w:lang w:val="hu-HU"/>
              </w:rPr>
            </w:pPr>
          </w:p>
          <w:p w:rsidR="00770D13" w:rsidRPr="00770D13" w:rsidRDefault="00770D13" w:rsidP="001B4172">
            <w:pPr>
              <w:pStyle w:val="TableParagraph"/>
              <w:spacing w:after="240" w:line="237" w:lineRule="auto"/>
              <w:ind w:left="289" w:right="430"/>
              <w:jc w:val="both"/>
              <w:rPr>
                <w:sz w:val="24"/>
                <w:lang w:val="hu-HU"/>
              </w:rPr>
            </w:pPr>
            <w:r w:rsidRPr="00770D13">
              <w:rPr>
                <w:b/>
                <w:sz w:val="24"/>
                <w:lang w:val="hu-HU"/>
              </w:rPr>
              <w:t>A tantárgy révén megszerzendő ismer</w:t>
            </w:r>
            <w:r w:rsidR="001B4172">
              <w:rPr>
                <w:b/>
                <w:sz w:val="24"/>
                <w:lang w:val="hu-HU"/>
              </w:rPr>
              <w:t xml:space="preserve">etek, elsajátítandó alkalmazási </w:t>
            </w:r>
            <w:r w:rsidRPr="001B4172">
              <w:rPr>
                <w:b/>
                <w:sz w:val="24"/>
                <w:lang w:val="hu-HU"/>
              </w:rPr>
              <w:t>(rész</w:t>
            </w:r>
            <w:proofErr w:type="gramStart"/>
            <w:r w:rsidRPr="001B4172">
              <w:rPr>
                <w:b/>
                <w:sz w:val="24"/>
                <w:lang w:val="hu-HU"/>
              </w:rPr>
              <w:t>)készségek</w:t>
            </w:r>
            <w:proofErr w:type="gramEnd"/>
            <w:r w:rsidRPr="001B4172">
              <w:rPr>
                <w:b/>
                <w:sz w:val="24"/>
                <w:lang w:val="hu-HU"/>
              </w:rPr>
              <w:t xml:space="preserve"> és (rész)kompetenciák leírása: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75" w:lineRule="exact"/>
              <w:ind w:left="729" w:right="43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A másság elfogadása, tanulót megismerni kész nevelői</w:t>
            </w:r>
            <w:r w:rsidRPr="00770D13">
              <w:rPr>
                <w:spacing w:val="-1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attitűd.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42" w:lineRule="auto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>A „sajátos nevelési igényű gyermek, tanuló”, a tanulásban akadályozott gyermek jogszabályi és szakmai fogalmának az</w:t>
            </w:r>
            <w:r w:rsidRPr="00770D13">
              <w:rPr>
                <w:spacing w:val="5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ismerete.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42" w:lineRule="auto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 xml:space="preserve">Alapvető ismeretek a legfontosabb nemzetközi és hazai pedagógiai felfogásokról, az integráció, az </w:t>
            </w:r>
            <w:proofErr w:type="spellStart"/>
            <w:r w:rsidRPr="00770D13">
              <w:rPr>
                <w:spacing w:val="-3"/>
                <w:sz w:val="24"/>
                <w:lang w:val="hu-HU"/>
              </w:rPr>
              <w:t>inklúzió</w:t>
            </w:r>
            <w:proofErr w:type="spellEnd"/>
            <w:r w:rsidRPr="00770D13">
              <w:rPr>
                <w:spacing w:val="12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kérdéséről.</w:t>
            </w:r>
          </w:p>
          <w:p w:rsidR="00770D13" w:rsidRPr="00770D13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42" w:lineRule="auto"/>
              <w:ind w:right="430" w:hanging="360"/>
              <w:jc w:val="both"/>
              <w:rPr>
                <w:sz w:val="24"/>
                <w:lang w:val="hu-HU"/>
              </w:rPr>
            </w:pPr>
            <w:r w:rsidRPr="00770D13">
              <w:rPr>
                <w:sz w:val="24"/>
                <w:lang w:val="hu-HU"/>
              </w:rPr>
              <w:t xml:space="preserve">A team-munka legfontosabb ismérvei (különösen a pedagógus és a </w:t>
            </w:r>
            <w:r w:rsidRPr="00770D13">
              <w:rPr>
                <w:sz w:val="24"/>
                <w:lang w:val="hu-HU"/>
              </w:rPr>
              <w:lastRenderedPageBreak/>
              <w:t>gyógypedagógus, fejlesztőpedagógus közös</w:t>
            </w:r>
            <w:r w:rsidRPr="00770D13">
              <w:rPr>
                <w:spacing w:val="-1"/>
                <w:sz w:val="24"/>
                <w:lang w:val="hu-HU"/>
              </w:rPr>
              <w:t xml:space="preserve"> </w:t>
            </w:r>
            <w:r w:rsidRPr="00770D13">
              <w:rPr>
                <w:sz w:val="24"/>
                <w:lang w:val="hu-HU"/>
              </w:rPr>
              <w:t>munkája)</w:t>
            </w:r>
          </w:p>
          <w:p w:rsidR="00770D13" w:rsidRPr="001B4172" w:rsidRDefault="00770D13" w:rsidP="001B4172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63" w:lineRule="exact"/>
              <w:ind w:left="729" w:right="430"/>
              <w:jc w:val="both"/>
              <w:rPr>
                <w:lang w:val="hu-HU"/>
              </w:rPr>
            </w:pPr>
            <w:r w:rsidRPr="00770D13">
              <w:rPr>
                <w:sz w:val="24"/>
                <w:lang w:val="hu-HU"/>
              </w:rPr>
              <w:t>A szemléltető- és a taneszközök szerepének és adaptálásnak a fontossága</w:t>
            </w:r>
          </w:p>
          <w:p w:rsid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right="430"/>
              <w:jc w:val="both"/>
              <w:rPr>
                <w:sz w:val="24"/>
                <w:lang w:val="hu-HU"/>
              </w:rPr>
            </w:pP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b/>
                <w:lang w:val="hu-HU"/>
              </w:rPr>
            </w:pPr>
            <w:r w:rsidRPr="001B4172">
              <w:rPr>
                <w:b/>
                <w:lang w:val="hu-HU"/>
              </w:rPr>
              <w:t>Kötelező és ajánlott szakirodalom:</w:t>
            </w: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right="430"/>
              <w:jc w:val="both"/>
              <w:rPr>
                <w:lang w:val="hu-HU"/>
              </w:rPr>
            </w:pP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  <w:r w:rsidRPr="001B4172">
              <w:rPr>
                <w:lang w:val="hu-HU"/>
              </w:rPr>
              <w:t>Illyés Sándor (</w:t>
            </w:r>
            <w:proofErr w:type="spellStart"/>
            <w:r w:rsidRPr="001B4172">
              <w:rPr>
                <w:lang w:val="hu-HU"/>
              </w:rPr>
              <w:t>szerk</w:t>
            </w:r>
            <w:proofErr w:type="spellEnd"/>
            <w:r w:rsidRPr="001B4172">
              <w:rPr>
                <w:lang w:val="hu-HU"/>
              </w:rPr>
              <w:t>) (2000): Gyógypedagógiai alapismeretek BGGYTF, Budapest</w:t>
            </w: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  <w:r w:rsidRPr="001B4172">
              <w:rPr>
                <w:lang w:val="hu-HU"/>
              </w:rPr>
              <w:t xml:space="preserve"> </w:t>
            </w: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  <w:proofErr w:type="spellStart"/>
            <w:r w:rsidRPr="001B4172">
              <w:rPr>
                <w:lang w:val="hu-HU"/>
              </w:rPr>
              <w:t>Heacox</w:t>
            </w:r>
            <w:proofErr w:type="spellEnd"/>
            <w:r w:rsidRPr="001B4172">
              <w:rPr>
                <w:lang w:val="hu-HU"/>
              </w:rPr>
              <w:t xml:space="preserve">, </w:t>
            </w:r>
            <w:proofErr w:type="spellStart"/>
            <w:proofErr w:type="gramStart"/>
            <w:r w:rsidRPr="001B4172">
              <w:rPr>
                <w:lang w:val="hu-HU"/>
              </w:rPr>
              <w:t>Diane</w:t>
            </w:r>
            <w:proofErr w:type="spellEnd"/>
            <w:r w:rsidRPr="001B4172">
              <w:rPr>
                <w:lang w:val="hu-HU"/>
              </w:rPr>
              <w:t>(</w:t>
            </w:r>
            <w:proofErr w:type="gramEnd"/>
            <w:r w:rsidRPr="001B4172">
              <w:rPr>
                <w:lang w:val="hu-HU"/>
              </w:rPr>
              <w:t>2006): Differenciálás a tanításban, tanulásban. Kézikönyv a 3-12. évfolyam számára. Budapest, Szabad Iskolákért Alapítvány.</w:t>
            </w: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  <w:r w:rsidRPr="001B4172">
              <w:rPr>
                <w:lang w:val="hu-HU"/>
              </w:rPr>
              <w:t xml:space="preserve">Adaptációs kézikönyv. Gyakorlati útmutató integráló pedagógusoknak. </w:t>
            </w:r>
            <w:proofErr w:type="spellStart"/>
            <w:r w:rsidRPr="001B4172">
              <w:rPr>
                <w:lang w:val="hu-HU"/>
              </w:rPr>
              <w:t>Sulinova</w:t>
            </w:r>
            <w:proofErr w:type="spellEnd"/>
            <w:r w:rsidRPr="001B4172">
              <w:rPr>
                <w:lang w:val="hu-HU"/>
              </w:rPr>
              <w:t xml:space="preserve">, </w:t>
            </w:r>
            <w:proofErr w:type="spellStart"/>
            <w:r w:rsidRPr="001B4172">
              <w:rPr>
                <w:lang w:val="hu-HU"/>
              </w:rPr>
              <w:t>Educatio</w:t>
            </w:r>
            <w:proofErr w:type="spellEnd"/>
            <w:r w:rsidRPr="001B4172">
              <w:rPr>
                <w:lang w:val="hu-HU"/>
              </w:rPr>
              <w:t xml:space="preserve"> Társadalmi Szolgáltató Közhasznú Társaság, Budapest, 2008 13 -169.</w:t>
            </w: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  <w:r w:rsidRPr="001B4172">
              <w:rPr>
                <w:lang w:val="hu-HU"/>
              </w:rPr>
              <w:t>Torda Ágnes (szerk.) (1993): Szemelvények a tanulási zavarok köréből, Nemzeti Tankönyvkiadó, Budapest</w:t>
            </w: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  <w:r w:rsidRPr="001B4172">
              <w:rPr>
                <w:lang w:val="hu-HU"/>
              </w:rPr>
              <w:t>Ranschburg Jenő: Pszichológiai rendellenességek gyermekkorban. Nemzeti Tankönyvkiadó, Budapest, 1998</w:t>
            </w: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</w:p>
          <w:p w:rsid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  <w:r w:rsidRPr="001B4172">
              <w:rPr>
                <w:b/>
                <w:lang w:val="hu-HU"/>
              </w:rPr>
              <w:t>A félévközi tanulmányi követelmények típusa:</w:t>
            </w:r>
            <w:r w:rsidRPr="001B4172">
              <w:rPr>
                <w:lang w:val="hu-HU"/>
              </w:rPr>
              <w:t xml:space="preserve"> (zárthelyi, kiselőadás, esszé stb.): szemináriumi dolgozat közösen egyeztetett témában</w:t>
            </w:r>
          </w:p>
          <w:p w:rsidR="001B4172" w:rsidRPr="001B4172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</w:p>
          <w:p w:rsidR="001B4172" w:rsidRPr="00770D13" w:rsidRDefault="001B4172" w:rsidP="001B4172">
            <w:pPr>
              <w:pStyle w:val="TableParagraph"/>
              <w:tabs>
                <w:tab w:val="left" w:pos="729"/>
                <w:tab w:val="left" w:pos="730"/>
              </w:tabs>
              <w:spacing w:line="263" w:lineRule="exact"/>
              <w:ind w:left="289" w:right="430"/>
              <w:jc w:val="both"/>
              <w:rPr>
                <w:lang w:val="hu-HU"/>
              </w:rPr>
            </w:pPr>
            <w:r w:rsidRPr="001B4172">
              <w:rPr>
                <w:b/>
                <w:lang w:val="hu-HU"/>
              </w:rPr>
              <w:t>A félévközi ellenőrzések módja, ideje:</w:t>
            </w:r>
            <w:r w:rsidRPr="001B4172">
              <w:rPr>
                <w:lang w:val="hu-HU"/>
              </w:rPr>
              <w:t xml:space="preserve"> (Ellenőrzés száma, hozzávetőleges időpontja, pótlása, valamint javításuk lehetősége): a félév végén</w:t>
            </w: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256"/>
    <w:multiLevelType w:val="hybridMultilevel"/>
    <w:tmpl w:val="AA3C744C"/>
    <w:lvl w:ilvl="0" w:tplc="EF925002">
      <w:numFmt w:val="bullet"/>
      <w:lvlText w:val="-"/>
      <w:lvlJc w:val="left"/>
      <w:pPr>
        <w:ind w:left="739" w:hanging="351"/>
      </w:pPr>
      <w:rPr>
        <w:rFonts w:hint="default"/>
        <w:w w:val="99"/>
        <w:lang w:val="hu-HU" w:eastAsia="hu-HU" w:bidi="hu-HU"/>
      </w:rPr>
    </w:lvl>
    <w:lvl w:ilvl="1" w:tplc="B1104370">
      <w:numFmt w:val="bullet"/>
      <w:lvlText w:val="•"/>
      <w:lvlJc w:val="left"/>
      <w:pPr>
        <w:ind w:left="1667" w:hanging="351"/>
      </w:pPr>
      <w:rPr>
        <w:rFonts w:hint="default"/>
        <w:lang w:val="hu-HU" w:eastAsia="hu-HU" w:bidi="hu-HU"/>
      </w:rPr>
    </w:lvl>
    <w:lvl w:ilvl="2" w:tplc="A08CC012">
      <w:numFmt w:val="bullet"/>
      <w:lvlText w:val="•"/>
      <w:lvlJc w:val="left"/>
      <w:pPr>
        <w:ind w:left="2594" w:hanging="351"/>
      </w:pPr>
      <w:rPr>
        <w:rFonts w:hint="default"/>
        <w:lang w:val="hu-HU" w:eastAsia="hu-HU" w:bidi="hu-HU"/>
      </w:rPr>
    </w:lvl>
    <w:lvl w:ilvl="3" w:tplc="E7182B2A">
      <w:numFmt w:val="bullet"/>
      <w:lvlText w:val="•"/>
      <w:lvlJc w:val="left"/>
      <w:pPr>
        <w:ind w:left="3521" w:hanging="351"/>
      </w:pPr>
      <w:rPr>
        <w:rFonts w:hint="default"/>
        <w:lang w:val="hu-HU" w:eastAsia="hu-HU" w:bidi="hu-HU"/>
      </w:rPr>
    </w:lvl>
    <w:lvl w:ilvl="4" w:tplc="69BCEEC8">
      <w:numFmt w:val="bullet"/>
      <w:lvlText w:val="•"/>
      <w:lvlJc w:val="left"/>
      <w:pPr>
        <w:ind w:left="4448" w:hanging="351"/>
      </w:pPr>
      <w:rPr>
        <w:rFonts w:hint="default"/>
        <w:lang w:val="hu-HU" w:eastAsia="hu-HU" w:bidi="hu-HU"/>
      </w:rPr>
    </w:lvl>
    <w:lvl w:ilvl="5" w:tplc="2A2C6796">
      <w:numFmt w:val="bullet"/>
      <w:lvlText w:val="•"/>
      <w:lvlJc w:val="left"/>
      <w:pPr>
        <w:ind w:left="5375" w:hanging="351"/>
      </w:pPr>
      <w:rPr>
        <w:rFonts w:hint="default"/>
        <w:lang w:val="hu-HU" w:eastAsia="hu-HU" w:bidi="hu-HU"/>
      </w:rPr>
    </w:lvl>
    <w:lvl w:ilvl="6" w:tplc="47889A44">
      <w:numFmt w:val="bullet"/>
      <w:lvlText w:val="•"/>
      <w:lvlJc w:val="left"/>
      <w:pPr>
        <w:ind w:left="6302" w:hanging="351"/>
      </w:pPr>
      <w:rPr>
        <w:rFonts w:hint="default"/>
        <w:lang w:val="hu-HU" w:eastAsia="hu-HU" w:bidi="hu-HU"/>
      </w:rPr>
    </w:lvl>
    <w:lvl w:ilvl="7" w:tplc="B79C6272">
      <w:numFmt w:val="bullet"/>
      <w:lvlText w:val="•"/>
      <w:lvlJc w:val="left"/>
      <w:pPr>
        <w:ind w:left="7229" w:hanging="351"/>
      </w:pPr>
      <w:rPr>
        <w:rFonts w:hint="default"/>
        <w:lang w:val="hu-HU" w:eastAsia="hu-HU" w:bidi="hu-HU"/>
      </w:rPr>
    </w:lvl>
    <w:lvl w:ilvl="8" w:tplc="09905652">
      <w:numFmt w:val="bullet"/>
      <w:lvlText w:val="•"/>
      <w:lvlJc w:val="left"/>
      <w:pPr>
        <w:ind w:left="8156" w:hanging="351"/>
      </w:pPr>
      <w:rPr>
        <w:rFonts w:hint="default"/>
        <w:lang w:val="hu-HU" w:eastAsia="hu-HU" w:bidi="hu-HU"/>
      </w:rPr>
    </w:lvl>
  </w:abstractNum>
  <w:abstractNum w:abstractNumId="1">
    <w:nsid w:val="77E321C0"/>
    <w:multiLevelType w:val="hybridMultilevel"/>
    <w:tmpl w:val="0C5EE548"/>
    <w:lvl w:ilvl="0" w:tplc="AFDAF3FE">
      <w:start w:val="1"/>
      <w:numFmt w:val="decimal"/>
      <w:lvlText w:val="%1."/>
      <w:lvlJc w:val="left"/>
      <w:pPr>
        <w:ind w:left="743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EA623E2C">
      <w:numFmt w:val="bullet"/>
      <w:lvlText w:val="•"/>
      <w:lvlJc w:val="left"/>
      <w:pPr>
        <w:ind w:left="1667" w:hanging="346"/>
      </w:pPr>
      <w:rPr>
        <w:rFonts w:hint="default"/>
        <w:lang w:val="hu-HU" w:eastAsia="hu-HU" w:bidi="hu-HU"/>
      </w:rPr>
    </w:lvl>
    <w:lvl w:ilvl="2" w:tplc="6C8E1950">
      <w:numFmt w:val="bullet"/>
      <w:lvlText w:val="•"/>
      <w:lvlJc w:val="left"/>
      <w:pPr>
        <w:ind w:left="2594" w:hanging="346"/>
      </w:pPr>
      <w:rPr>
        <w:rFonts w:hint="default"/>
        <w:lang w:val="hu-HU" w:eastAsia="hu-HU" w:bidi="hu-HU"/>
      </w:rPr>
    </w:lvl>
    <w:lvl w:ilvl="3" w:tplc="79983AAE">
      <w:numFmt w:val="bullet"/>
      <w:lvlText w:val="•"/>
      <w:lvlJc w:val="left"/>
      <w:pPr>
        <w:ind w:left="3521" w:hanging="346"/>
      </w:pPr>
      <w:rPr>
        <w:rFonts w:hint="default"/>
        <w:lang w:val="hu-HU" w:eastAsia="hu-HU" w:bidi="hu-HU"/>
      </w:rPr>
    </w:lvl>
    <w:lvl w:ilvl="4" w:tplc="7722E4FE">
      <w:numFmt w:val="bullet"/>
      <w:lvlText w:val="•"/>
      <w:lvlJc w:val="left"/>
      <w:pPr>
        <w:ind w:left="4448" w:hanging="346"/>
      </w:pPr>
      <w:rPr>
        <w:rFonts w:hint="default"/>
        <w:lang w:val="hu-HU" w:eastAsia="hu-HU" w:bidi="hu-HU"/>
      </w:rPr>
    </w:lvl>
    <w:lvl w:ilvl="5" w:tplc="A3405E3C">
      <w:numFmt w:val="bullet"/>
      <w:lvlText w:val="•"/>
      <w:lvlJc w:val="left"/>
      <w:pPr>
        <w:ind w:left="5375" w:hanging="346"/>
      </w:pPr>
      <w:rPr>
        <w:rFonts w:hint="default"/>
        <w:lang w:val="hu-HU" w:eastAsia="hu-HU" w:bidi="hu-HU"/>
      </w:rPr>
    </w:lvl>
    <w:lvl w:ilvl="6" w:tplc="78D4E6CC">
      <w:numFmt w:val="bullet"/>
      <w:lvlText w:val="•"/>
      <w:lvlJc w:val="left"/>
      <w:pPr>
        <w:ind w:left="6302" w:hanging="346"/>
      </w:pPr>
      <w:rPr>
        <w:rFonts w:hint="default"/>
        <w:lang w:val="hu-HU" w:eastAsia="hu-HU" w:bidi="hu-HU"/>
      </w:rPr>
    </w:lvl>
    <w:lvl w:ilvl="7" w:tplc="E730D626">
      <w:numFmt w:val="bullet"/>
      <w:lvlText w:val="•"/>
      <w:lvlJc w:val="left"/>
      <w:pPr>
        <w:ind w:left="7229" w:hanging="346"/>
      </w:pPr>
      <w:rPr>
        <w:rFonts w:hint="default"/>
        <w:lang w:val="hu-HU" w:eastAsia="hu-HU" w:bidi="hu-HU"/>
      </w:rPr>
    </w:lvl>
    <w:lvl w:ilvl="8" w:tplc="17A6B950">
      <w:numFmt w:val="bullet"/>
      <w:lvlText w:val="•"/>
      <w:lvlJc w:val="left"/>
      <w:pPr>
        <w:ind w:left="8156" w:hanging="346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0D"/>
    <w:rsid w:val="001B4172"/>
    <w:rsid w:val="00770D13"/>
    <w:rsid w:val="00823088"/>
    <w:rsid w:val="00D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70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D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770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70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D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77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2020-03-30T15:36:00Z</dcterms:created>
  <dcterms:modified xsi:type="dcterms:W3CDTF">2020-03-30T15:42:00Z</dcterms:modified>
</cp:coreProperties>
</file>