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6"/>
        <w:gridCol w:w="1593"/>
        <w:gridCol w:w="1593"/>
        <w:gridCol w:w="2284"/>
        <w:gridCol w:w="1746"/>
      </w:tblGrid>
      <w:tr w:rsidR="00C84C6E" w:rsidRPr="00C84C6E" w:rsidTr="00CA75B2">
        <w:trPr>
          <w:trHeight w:val="647"/>
        </w:trPr>
        <w:tc>
          <w:tcPr>
            <w:tcW w:w="1036" w:type="pct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Kód:</w:t>
            </w:r>
          </w:p>
          <w:p w:rsidR="00C84C6E" w:rsidRPr="00C84C6E" w:rsidRDefault="00C84C6E" w:rsidP="004E0E7F">
            <w:pPr>
              <w:pStyle w:val="TableParagraph"/>
              <w:spacing w:before="36"/>
              <w:ind w:left="66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SZTI144</w:t>
            </w:r>
          </w:p>
        </w:tc>
        <w:tc>
          <w:tcPr>
            <w:tcW w:w="3038" w:type="pct"/>
            <w:gridSpan w:val="3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51"/>
              <w:ind w:left="66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Tanügy-igazgatási és jogi ismeretek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13"/>
              <w:ind w:left="46" w:right="160"/>
              <w:jc w:val="center"/>
              <w:rPr>
                <w:b/>
                <w:sz w:val="24"/>
                <w:lang w:val="hu-HU"/>
              </w:rPr>
            </w:pPr>
            <w:r w:rsidRPr="00C84C6E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C84C6E" w:rsidRPr="00C84C6E" w:rsidRDefault="00C84C6E" w:rsidP="004E0E7F">
            <w:pPr>
              <w:pStyle w:val="TableParagraph"/>
              <w:spacing w:before="36"/>
              <w:ind w:right="1"/>
              <w:jc w:val="center"/>
              <w:rPr>
                <w:sz w:val="24"/>
                <w:lang w:val="hu-HU"/>
              </w:rPr>
            </w:pPr>
            <w:r w:rsidRPr="00C84C6E">
              <w:rPr>
                <w:w w:val="119"/>
                <w:sz w:val="24"/>
                <w:lang w:val="hu-HU"/>
              </w:rPr>
              <w:t>4</w:t>
            </w:r>
          </w:p>
        </w:tc>
      </w:tr>
      <w:tr w:rsidR="00C84C6E" w:rsidRPr="00C84C6E" w:rsidTr="00CA75B2">
        <w:trPr>
          <w:trHeight w:val="647"/>
        </w:trPr>
        <w:tc>
          <w:tcPr>
            <w:tcW w:w="1036" w:type="pct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Választhatóság:</w:t>
            </w:r>
          </w:p>
          <w:p w:rsidR="00C84C6E" w:rsidRPr="00C84C6E" w:rsidRDefault="00C84C6E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kötelező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Óraszám:</w:t>
            </w:r>
          </w:p>
          <w:p w:rsidR="00C84C6E" w:rsidRPr="00C84C6E" w:rsidRDefault="00C84C6E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10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Kurzuszárás:</w:t>
            </w:r>
          </w:p>
          <w:p w:rsidR="00C84C6E" w:rsidRPr="00C84C6E" w:rsidRDefault="00C84C6E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kollokvium</w:t>
            </w:r>
          </w:p>
        </w:tc>
        <w:tc>
          <w:tcPr>
            <w:tcW w:w="1265" w:type="pct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Tanóraforma:</w:t>
            </w:r>
          </w:p>
          <w:p w:rsidR="00C84C6E" w:rsidRPr="00C84C6E" w:rsidRDefault="00C84C6E" w:rsidP="004E0E7F">
            <w:pPr>
              <w:pStyle w:val="TableParagraph"/>
              <w:spacing w:before="36"/>
              <w:ind w:left="28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előadás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:rsidR="00C84C6E" w:rsidRPr="00C84C6E" w:rsidRDefault="00C84C6E" w:rsidP="004E0E7F">
            <w:pPr>
              <w:pStyle w:val="TableParagraph"/>
              <w:spacing w:before="13"/>
              <w:ind w:left="46" w:right="570"/>
              <w:jc w:val="center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Előfeltétel:</w:t>
            </w:r>
          </w:p>
          <w:p w:rsidR="00C84C6E" w:rsidRPr="00C84C6E" w:rsidRDefault="00C84C6E" w:rsidP="004E0E7F">
            <w:pPr>
              <w:pStyle w:val="TableParagraph"/>
              <w:spacing w:before="41"/>
              <w:ind w:left="46" w:right="46"/>
              <w:jc w:val="center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––</w:t>
            </w:r>
          </w:p>
        </w:tc>
      </w:tr>
      <w:tr w:rsidR="00C84C6E" w:rsidRPr="00C84C6E" w:rsidTr="00C84C6E">
        <w:trPr>
          <w:trHeight w:val="10046"/>
        </w:trPr>
        <w:tc>
          <w:tcPr>
            <w:tcW w:w="5000" w:type="pct"/>
            <w:gridSpan w:val="5"/>
          </w:tcPr>
          <w:p w:rsidR="00C84C6E" w:rsidRDefault="00C84C6E" w:rsidP="004E0E7F">
            <w:pPr>
              <w:pStyle w:val="TableParagraph"/>
              <w:spacing w:before="18"/>
              <w:ind w:left="23"/>
              <w:rPr>
                <w:b/>
                <w:sz w:val="24"/>
                <w:lang w:val="hu-HU"/>
              </w:rPr>
            </w:pPr>
          </w:p>
          <w:p w:rsidR="00C84C6E" w:rsidRDefault="00C84C6E" w:rsidP="00C84C6E">
            <w:pPr>
              <w:pStyle w:val="TableParagraph"/>
              <w:spacing w:before="18"/>
              <w:ind w:left="147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lang w:val="hu-HU"/>
              </w:rPr>
              <w:t>Tematika:</w:t>
            </w:r>
            <w:bookmarkStart w:id="0" w:name="_GoBack"/>
            <w:bookmarkEnd w:id="0"/>
          </w:p>
          <w:p w:rsidR="00C84C6E" w:rsidRPr="00C84C6E" w:rsidRDefault="00C84C6E" w:rsidP="004E0E7F">
            <w:pPr>
              <w:pStyle w:val="TableParagraph"/>
              <w:spacing w:before="18"/>
              <w:ind w:left="23"/>
              <w:rPr>
                <w:b/>
                <w:sz w:val="24"/>
                <w:lang w:val="hu-HU"/>
              </w:rPr>
            </w:pP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before="12" w:after="240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 xml:space="preserve">A tanügy-igazgatás, </w:t>
            </w:r>
            <w:r w:rsidRPr="00C84C6E">
              <w:rPr>
                <w:spacing w:val="-4"/>
                <w:sz w:val="24"/>
                <w:lang w:val="hu-HU"/>
              </w:rPr>
              <w:t xml:space="preserve">mint </w:t>
            </w:r>
            <w:r w:rsidRPr="00C84C6E">
              <w:rPr>
                <w:sz w:val="24"/>
                <w:lang w:val="hu-HU"/>
              </w:rPr>
              <w:t xml:space="preserve">szakigazgatás helye a magyar állam- és jogrendszerben. </w:t>
            </w:r>
            <w:r w:rsidRPr="00C84C6E">
              <w:rPr>
                <w:spacing w:val="-3"/>
                <w:sz w:val="24"/>
                <w:lang w:val="hu-HU"/>
              </w:rPr>
              <w:t xml:space="preserve">Az </w:t>
            </w:r>
            <w:r w:rsidRPr="00C84C6E">
              <w:rPr>
                <w:sz w:val="24"/>
                <w:lang w:val="hu-HU"/>
              </w:rPr>
              <w:t xml:space="preserve">állam feladatai a köznevelés területén. </w:t>
            </w:r>
            <w:r w:rsidRPr="00C84C6E">
              <w:rPr>
                <w:spacing w:val="-3"/>
                <w:sz w:val="24"/>
                <w:lang w:val="hu-HU"/>
              </w:rPr>
              <w:t xml:space="preserve">Az </w:t>
            </w:r>
            <w:r w:rsidRPr="00C84C6E">
              <w:rPr>
                <w:sz w:val="24"/>
                <w:lang w:val="hu-HU"/>
              </w:rPr>
              <w:t>önkormányzatok feladat-ellátási kötelezettségének</w:t>
            </w:r>
            <w:r w:rsidRPr="00C84C6E">
              <w:rPr>
                <w:spacing w:val="6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változása.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before="2" w:after="240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A közoktatás/köznevelés jogszabályi háttere és annak változása (a korábbi, valamint hatályos alkotmányos szabályozás ismertetése, a közoktatási/köznevelési törvény és a szakképzési törvény legfontosabb</w:t>
            </w:r>
            <w:r w:rsidRPr="00C84C6E">
              <w:rPr>
                <w:spacing w:val="-9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jellemzői).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 xml:space="preserve">Köznevelési intézmények alapítása, működési feltételei. </w:t>
            </w:r>
            <w:r w:rsidRPr="00C84C6E">
              <w:rPr>
                <w:spacing w:val="-3"/>
                <w:sz w:val="24"/>
                <w:lang w:val="hu-HU"/>
              </w:rPr>
              <w:t xml:space="preserve">Az </w:t>
            </w:r>
            <w:r w:rsidRPr="00C84C6E">
              <w:rPr>
                <w:sz w:val="24"/>
                <w:lang w:val="hu-HU"/>
              </w:rPr>
              <w:t>intézmények legfontosabb belső normái. A fenntartói irányítás jellemzői és jogkörei a hatályos szabályok alapján. A köznevelési intézmények ellenőrzésének szabályai.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 xml:space="preserve">A köznevelésben résztvevők legfontosabb jogai és kötelezettségei. </w:t>
            </w:r>
            <w:r w:rsidRPr="00C84C6E">
              <w:rPr>
                <w:spacing w:val="-3"/>
                <w:sz w:val="24"/>
                <w:lang w:val="hu-HU"/>
              </w:rPr>
              <w:t xml:space="preserve">Az </w:t>
            </w:r>
            <w:r w:rsidRPr="00C84C6E">
              <w:rPr>
                <w:sz w:val="24"/>
                <w:lang w:val="hu-HU"/>
              </w:rPr>
              <w:t>intézménybe történő felvétel jellemzői, a tankötelezettség, a tanulói jogviszony, a kollégiumi tagsági jogviszony stb. egyes tanügy-igazgatási</w:t>
            </w:r>
            <w:r w:rsidRPr="00C84C6E">
              <w:rPr>
                <w:spacing w:val="-8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kérdései.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 w:line="242" w:lineRule="auto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 xml:space="preserve">Gyermeki, tanulói jogok és kötelességek. </w:t>
            </w:r>
            <w:r w:rsidRPr="00C84C6E">
              <w:rPr>
                <w:spacing w:val="-3"/>
                <w:sz w:val="24"/>
                <w:lang w:val="hu-HU"/>
              </w:rPr>
              <w:t xml:space="preserve">Az </w:t>
            </w:r>
            <w:r w:rsidRPr="00C84C6E">
              <w:rPr>
                <w:sz w:val="24"/>
                <w:lang w:val="hu-HU"/>
              </w:rPr>
              <w:t>esélyegyenlőség feltételeinek biztosítása. A tanulók közösségei. A diákönkormányzat jogai, működésének egyes jogi</w:t>
            </w:r>
            <w:r w:rsidRPr="00C84C6E">
              <w:rPr>
                <w:spacing w:val="-4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kérdései.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 w:line="242" w:lineRule="auto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Szülői jogok és azok gyakorlása a köznevelési intézményekben (szülői szervezet, iskolaszék).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 xml:space="preserve">Általános és speciális alkalmazási feltételek a közszférában, munkavégzési szabályok a köznevelésben. A pedagógusok jogai és kötelességei. </w:t>
            </w:r>
            <w:r w:rsidRPr="00C84C6E">
              <w:rPr>
                <w:spacing w:val="-3"/>
                <w:sz w:val="24"/>
                <w:lang w:val="hu-HU"/>
              </w:rPr>
              <w:t xml:space="preserve">Az </w:t>
            </w:r>
            <w:r w:rsidRPr="00C84C6E">
              <w:rPr>
                <w:sz w:val="24"/>
                <w:lang w:val="hu-HU"/>
              </w:rPr>
              <w:t>intézményvezető feladatai, jogkörei. A pedagógusok szakmai testületeinek (nevelőtestület, alkalmazotti közösség, szakmai munkaközösségek)</w:t>
            </w:r>
            <w:r w:rsidRPr="00C84C6E">
              <w:rPr>
                <w:spacing w:val="5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működése.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/>
              <w:ind w:left="856" w:right="572" w:hanging="283"/>
              <w:jc w:val="both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Pedagógiai szakszolgálatok és pedagógiai-szakmai szolgáltatások.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 w:line="275" w:lineRule="exact"/>
              <w:ind w:left="856" w:right="572" w:hanging="283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A jogorvoslati jog, valamint annak érvényesülése a</w:t>
            </w:r>
            <w:r w:rsidRPr="00C84C6E">
              <w:rPr>
                <w:spacing w:val="12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köznevelésben.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 w:line="275" w:lineRule="exact"/>
              <w:ind w:left="856" w:right="572" w:hanging="308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A közneveléssel összefüggő államigazgatási feladatok ellátásának</w:t>
            </w:r>
            <w:r w:rsidRPr="00C84C6E">
              <w:rPr>
                <w:spacing w:val="-7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rendszere.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 w:line="275" w:lineRule="exact"/>
              <w:ind w:left="856" w:right="572" w:hanging="308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A szakképzés átalakulása, tanügy-igazgatási</w:t>
            </w:r>
            <w:r w:rsidRPr="00C84C6E">
              <w:rPr>
                <w:spacing w:val="-3"/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szabályozása.</w:t>
            </w:r>
          </w:p>
          <w:p w:rsidR="00C84C6E" w:rsidRPr="00C84C6E" w:rsidRDefault="00C84C6E" w:rsidP="00C84C6E">
            <w:pPr>
              <w:pStyle w:val="TableParagraph"/>
              <w:numPr>
                <w:ilvl w:val="0"/>
                <w:numId w:val="1"/>
              </w:numPr>
              <w:spacing w:after="240" w:line="242" w:lineRule="auto"/>
              <w:ind w:left="856" w:right="572" w:hanging="308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</w:t>
            </w:r>
            <w:r w:rsidRPr="00C84C6E">
              <w:rPr>
                <w:sz w:val="24"/>
                <w:lang w:val="hu-HU"/>
              </w:rPr>
              <w:t>A nem állami/helyi önkormányzati fenntartású intézmények működésének fontosabb jellemzői.</w:t>
            </w:r>
          </w:p>
          <w:p w:rsidR="00C84C6E" w:rsidRPr="00C84C6E" w:rsidRDefault="00C84C6E" w:rsidP="004E0E7F">
            <w:pPr>
              <w:pStyle w:val="TableParagraph"/>
              <w:rPr>
                <w:sz w:val="26"/>
                <w:lang w:val="hu-HU"/>
              </w:rPr>
            </w:pPr>
          </w:p>
          <w:p w:rsidR="00C84C6E" w:rsidRPr="00C84C6E" w:rsidRDefault="00C84C6E" w:rsidP="004E0E7F">
            <w:pPr>
              <w:pStyle w:val="TableParagraph"/>
              <w:spacing w:before="210"/>
              <w:ind w:left="23"/>
              <w:rPr>
                <w:b/>
                <w:sz w:val="24"/>
                <w:lang w:val="hu-HU"/>
              </w:rPr>
            </w:pPr>
            <w:r w:rsidRPr="00C84C6E">
              <w:rPr>
                <w:b/>
                <w:sz w:val="24"/>
                <w:u w:val="thick"/>
                <w:lang w:val="hu-HU"/>
              </w:rPr>
              <w:lastRenderedPageBreak/>
              <w:t>Tananyag</w:t>
            </w:r>
            <w:r w:rsidRPr="00C84C6E">
              <w:rPr>
                <w:b/>
                <w:sz w:val="24"/>
                <w:lang w:val="hu-HU"/>
              </w:rPr>
              <w:t>:</w:t>
            </w:r>
          </w:p>
          <w:p w:rsidR="00C84C6E" w:rsidRPr="00C84C6E" w:rsidRDefault="00C84C6E" w:rsidP="004E0E7F">
            <w:pPr>
              <w:pStyle w:val="TableParagraph"/>
              <w:spacing w:before="113" w:line="242" w:lineRule="auto"/>
              <w:ind w:left="23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L</w:t>
            </w:r>
            <w:r w:rsidRPr="00C84C6E">
              <w:rPr>
                <w:sz w:val="19"/>
                <w:lang w:val="hu-HU"/>
              </w:rPr>
              <w:t xml:space="preserve">APSÁNSZKY </w:t>
            </w:r>
            <w:r w:rsidRPr="00C84C6E">
              <w:rPr>
                <w:sz w:val="24"/>
                <w:lang w:val="hu-HU"/>
              </w:rPr>
              <w:t xml:space="preserve">András (szerk.): </w:t>
            </w:r>
            <w:r w:rsidRPr="00C84C6E">
              <w:rPr>
                <w:i/>
                <w:sz w:val="24"/>
                <w:lang w:val="hu-HU"/>
              </w:rPr>
              <w:t>Közigazgatási jog – Fejezetek szakigazgatásaink köréből (III. Kötet)</w:t>
            </w:r>
            <w:r w:rsidRPr="00C84C6E">
              <w:rPr>
                <w:sz w:val="24"/>
                <w:lang w:val="hu-HU"/>
              </w:rPr>
              <w:t xml:space="preserve">. </w:t>
            </w:r>
            <w:proofErr w:type="spellStart"/>
            <w:r w:rsidRPr="00C84C6E">
              <w:rPr>
                <w:sz w:val="24"/>
                <w:lang w:val="hu-HU"/>
              </w:rPr>
              <w:t>Complex</w:t>
            </w:r>
            <w:proofErr w:type="spellEnd"/>
            <w:r w:rsidRPr="00C84C6E">
              <w:rPr>
                <w:sz w:val="24"/>
                <w:lang w:val="hu-HU"/>
              </w:rPr>
              <w:t>, Budapest, 2013. vonatkozó fejezete</w:t>
            </w:r>
          </w:p>
          <w:p w:rsidR="00C84C6E" w:rsidRPr="00C84C6E" w:rsidRDefault="00C84C6E" w:rsidP="004E0E7F">
            <w:pPr>
              <w:pStyle w:val="TableParagraph"/>
              <w:spacing w:before="114" w:line="242" w:lineRule="auto"/>
              <w:ind w:left="23"/>
              <w:rPr>
                <w:sz w:val="24"/>
                <w:lang w:val="hu-HU"/>
              </w:rPr>
            </w:pPr>
            <w:r w:rsidRPr="00C84C6E">
              <w:rPr>
                <w:sz w:val="24"/>
                <w:lang w:val="hu-HU"/>
              </w:rPr>
              <w:t>Az előadásokon elhangzottak, valamint az ott külön megjelölt jogszabályok, szakanyagok és egyéb források.</w:t>
            </w: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1597"/>
    <w:multiLevelType w:val="hybridMultilevel"/>
    <w:tmpl w:val="F12AA082"/>
    <w:lvl w:ilvl="0" w:tplc="0CA8D8C2">
      <w:start w:val="1"/>
      <w:numFmt w:val="decimal"/>
      <w:lvlText w:val="%1."/>
      <w:lvlJc w:val="left"/>
      <w:pPr>
        <w:ind w:left="739" w:hanging="5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39A031F4">
      <w:numFmt w:val="bullet"/>
      <w:lvlText w:val="•"/>
      <w:lvlJc w:val="left"/>
      <w:pPr>
        <w:ind w:left="1629" w:hanging="562"/>
      </w:pPr>
      <w:rPr>
        <w:rFonts w:hint="default"/>
        <w:lang w:val="hu-HU" w:eastAsia="hu-HU" w:bidi="hu-HU"/>
      </w:rPr>
    </w:lvl>
    <w:lvl w:ilvl="2" w:tplc="D250D99E">
      <w:numFmt w:val="bullet"/>
      <w:lvlText w:val="•"/>
      <w:lvlJc w:val="left"/>
      <w:pPr>
        <w:ind w:left="2518" w:hanging="562"/>
      </w:pPr>
      <w:rPr>
        <w:rFonts w:hint="default"/>
        <w:lang w:val="hu-HU" w:eastAsia="hu-HU" w:bidi="hu-HU"/>
      </w:rPr>
    </w:lvl>
    <w:lvl w:ilvl="3" w:tplc="37F66052">
      <w:numFmt w:val="bullet"/>
      <w:lvlText w:val="•"/>
      <w:lvlJc w:val="left"/>
      <w:pPr>
        <w:ind w:left="3407" w:hanging="562"/>
      </w:pPr>
      <w:rPr>
        <w:rFonts w:hint="default"/>
        <w:lang w:val="hu-HU" w:eastAsia="hu-HU" w:bidi="hu-HU"/>
      </w:rPr>
    </w:lvl>
    <w:lvl w:ilvl="4" w:tplc="88C69228">
      <w:numFmt w:val="bullet"/>
      <w:lvlText w:val="•"/>
      <w:lvlJc w:val="left"/>
      <w:pPr>
        <w:ind w:left="4296" w:hanging="562"/>
      </w:pPr>
      <w:rPr>
        <w:rFonts w:hint="default"/>
        <w:lang w:val="hu-HU" w:eastAsia="hu-HU" w:bidi="hu-HU"/>
      </w:rPr>
    </w:lvl>
    <w:lvl w:ilvl="5" w:tplc="89F4C78E">
      <w:numFmt w:val="bullet"/>
      <w:lvlText w:val="•"/>
      <w:lvlJc w:val="left"/>
      <w:pPr>
        <w:ind w:left="5185" w:hanging="562"/>
      </w:pPr>
      <w:rPr>
        <w:rFonts w:hint="default"/>
        <w:lang w:val="hu-HU" w:eastAsia="hu-HU" w:bidi="hu-HU"/>
      </w:rPr>
    </w:lvl>
    <w:lvl w:ilvl="6" w:tplc="07B4054C">
      <w:numFmt w:val="bullet"/>
      <w:lvlText w:val="•"/>
      <w:lvlJc w:val="left"/>
      <w:pPr>
        <w:ind w:left="6074" w:hanging="562"/>
      </w:pPr>
      <w:rPr>
        <w:rFonts w:hint="default"/>
        <w:lang w:val="hu-HU" w:eastAsia="hu-HU" w:bidi="hu-HU"/>
      </w:rPr>
    </w:lvl>
    <w:lvl w:ilvl="7" w:tplc="9EA21F88">
      <w:numFmt w:val="bullet"/>
      <w:lvlText w:val="•"/>
      <w:lvlJc w:val="left"/>
      <w:pPr>
        <w:ind w:left="6963" w:hanging="562"/>
      </w:pPr>
      <w:rPr>
        <w:rFonts w:hint="default"/>
        <w:lang w:val="hu-HU" w:eastAsia="hu-HU" w:bidi="hu-HU"/>
      </w:rPr>
    </w:lvl>
    <w:lvl w:ilvl="8" w:tplc="0D282300">
      <w:numFmt w:val="bullet"/>
      <w:lvlText w:val="•"/>
      <w:lvlJc w:val="left"/>
      <w:pPr>
        <w:ind w:left="7852" w:hanging="562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AB"/>
    <w:rsid w:val="00413CAB"/>
    <w:rsid w:val="00823088"/>
    <w:rsid w:val="00C84C6E"/>
    <w:rsid w:val="00C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84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C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C8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84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C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C8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2020-03-30T14:35:00Z</dcterms:created>
  <dcterms:modified xsi:type="dcterms:W3CDTF">2020-03-30T15:35:00Z</dcterms:modified>
</cp:coreProperties>
</file>