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1523"/>
        <w:gridCol w:w="1528"/>
        <w:gridCol w:w="2193"/>
        <w:gridCol w:w="1805"/>
      </w:tblGrid>
      <w:tr w:rsidR="00DE0464" w:rsidRPr="00DE0464" w:rsidTr="0037030B">
        <w:trPr>
          <w:trHeight w:val="854"/>
        </w:trPr>
        <w:tc>
          <w:tcPr>
            <w:tcW w:w="1130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Kód:</w:t>
            </w:r>
          </w:p>
          <w:p w:rsidR="00DE0464" w:rsidRPr="00DE0464" w:rsidRDefault="00DE0464" w:rsidP="004E0E7F">
            <w:pPr>
              <w:pStyle w:val="TableParagraph"/>
              <w:spacing w:before="17"/>
              <w:ind w:left="66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SZEU144</w:t>
            </w:r>
          </w:p>
        </w:tc>
        <w:tc>
          <w:tcPr>
            <w:tcW w:w="2879" w:type="pct"/>
            <w:gridSpan w:val="3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14"/>
              <w:ind w:left="66"/>
              <w:rPr>
                <w:b/>
                <w:sz w:val="24"/>
                <w:lang w:val="hu-HU"/>
              </w:rPr>
            </w:pPr>
            <w:r w:rsidRPr="00DE0464">
              <w:rPr>
                <w:b/>
                <w:w w:val="115"/>
                <w:sz w:val="24"/>
                <w:lang w:val="hu-HU"/>
              </w:rPr>
              <w:t>Európai oktatásügyi integrációs folyamatok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45" w:right="213"/>
              <w:jc w:val="center"/>
              <w:rPr>
                <w:b/>
                <w:sz w:val="24"/>
                <w:lang w:val="hu-HU"/>
              </w:rPr>
            </w:pPr>
            <w:r w:rsidRPr="00DE0464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DE0464" w:rsidRPr="00DE0464" w:rsidRDefault="00DE0464" w:rsidP="004E0E7F">
            <w:pPr>
              <w:pStyle w:val="TableParagraph"/>
              <w:spacing w:before="17"/>
              <w:jc w:val="center"/>
              <w:rPr>
                <w:sz w:val="24"/>
                <w:lang w:val="hu-HU"/>
              </w:rPr>
            </w:pPr>
            <w:r w:rsidRPr="00DE0464">
              <w:rPr>
                <w:w w:val="119"/>
                <w:sz w:val="24"/>
                <w:lang w:val="hu-HU"/>
              </w:rPr>
              <w:t>4</w:t>
            </w:r>
          </w:p>
        </w:tc>
      </w:tr>
      <w:tr w:rsidR="00DE0464" w:rsidRPr="00DE0464" w:rsidTr="0037030B">
        <w:trPr>
          <w:trHeight w:val="630"/>
        </w:trPr>
        <w:tc>
          <w:tcPr>
            <w:tcW w:w="1130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Választhatóság:</w:t>
            </w:r>
          </w:p>
          <w:p w:rsidR="00DE0464" w:rsidRPr="00DE0464" w:rsidRDefault="00DE0464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kötelező</w:t>
            </w:r>
          </w:p>
        </w:tc>
        <w:tc>
          <w:tcPr>
            <w:tcW w:w="836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Heti óraszám:</w:t>
            </w:r>
          </w:p>
          <w:p w:rsidR="00DE0464" w:rsidRPr="00DE0464" w:rsidRDefault="00DE0464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10</w:t>
            </w:r>
          </w:p>
        </w:tc>
        <w:tc>
          <w:tcPr>
            <w:tcW w:w="839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Kurzuszárás:</w:t>
            </w:r>
          </w:p>
          <w:p w:rsidR="00DE0464" w:rsidRPr="00DE0464" w:rsidRDefault="00DE0464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kollokvium</w:t>
            </w:r>
          </w:p>
        </w:tc>
        <w:tc>
          <w:tcPr>
            <w:tcW w:w="1204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22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Tanóraforma:</w:t>
            </w:r>
          </w:p>
          <w:p w:rsidR="00DE0464" w:rsidRPr="00DE0464" w:rsidRDefault="00DE0464" w:rsidP="004E0E7F">
            <w:pPr>
              <w:pStyle w:val="TableParagraph"/>
              <w:spacing w:before="17"/>
              <w:ind w:left="22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előadás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:rsidR="00DE0464" w:rsidRPr="00DE0464" w:rsidRDefault="00DE0464" w:rsidP="004E0E7F">
            <w:pPr>
              <w:pStyle w:val="TableParagraph"/>
              <w:spacing w:before="13"/>
              <w:ind w:left="45" w:right="624"/>
              <w:jc w:val="center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Előfeltétel:</w:t>
            </w:r>
          </w:p>
          <w:p w:rsidR="00DE0464" w:rsidRPr="00DE0464" w:rsidRDefault="00DE0464" w:rsidP="004E0E7F">
            <w:pPr>
              <w:pStyle w:val="TableParagraph"/>
              <w:spacing w:before="22"/>
              <w:ind w:left="45" w:right="45"/>
              <w:jc w:val="center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––</w:t>
            </w:r>
          </w:p>
        </w:tc>
      </w:tr>
      <w:tr w:rsidR="00DE0464" w:rsidRPr="00DE0464" w:rsidTr="00DE0464">
        <w:trPr>
          <w:trHeight w:val="10127"/>
        </w:trPr>
        <w:tc>
          <w:tcPr>
            <w:tcW w:w="5000" w:type="pct"/>
            <w:gridSpan w:val="5"/>
          </w:tcPr>
          <w:p w:rsidR="00DE0464" w:rsidRDefault="00DE0464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bookmarkStart w:id="0" w:name="_GoBack"/>
            <w:bookmarkEnd w:id="0"/>
          </w:p>
          <w:p w:rsidR="00DE0464" w:rsidRPr="00DE0464" w:rsidRDefault="00DE0464" w:rsidP="00DE0464">
            <w:pPr>
              <w:pStyle w:val="TableParagraph"/>
              <w:spacing w:before="13"/>
              <w:ind w:left="289"/>
              <w:rPr>
                <w:b/>
                <w:sz w:val="24"/>
                <w:lang w:val="hu-HU"/>
              </w:rPr>
            </w:pPr>
            <w:r w:rsidRPr="00DE0464">
              <w:rPr>
                <w:b/>
                <w:sz w:val="24"/>
                <w:lang w:val="hu-HU"/>
              </w:rPr>
              <w:t>Tematika: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7" w:after="240" w:line="242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>Európai Unió kialakulásának története, működésének feltételrendszere (3 pillér, tagállamok, csatlakozások, kiegyenlítő alapok, szubszidiaritás elve,</w:t>
            </w:r>
            <w:r w:rsidRPr="00DE0464">
              <w:rPr>
                <w:spacing w:val="16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stb.)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after="240" w:line="242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 xml:space="preserve">A jogalkotás folyamata (az </w:t>
            </w:r>
            <w:proofErr w:type="spellStart"/>
            <w:r w:rsidRPr="00DE0464">
              <w:rPr>
                <w:sz w:val="24"/>
                <w:lang w:val="hu-HU"/>
              </w:rPr>
              <w:t>acquis</w:t>
            </w:r>
            <w:proofErr w:type="spellEnd"/>
            <w:r w:rsidRPr="00DE0464">
              <w:rPr>
                <w:sz w:val="24"/>
                <w:lang w:val="hu-HU"/>
              </w:rPr>
              <w:t xml:space="preserve"> </w:t>
            </w:r>
            <w:proofErr w:type="spellStart"/>
            <w:r w:rsidRPr="00DE0464">
              <w:rPr>
                <w:sz w:val="24"/>
                <w:lang w:val="hu-HU"/>
              </w:rPr>
              <w:t>communautaire</w:t>
            </w:r>
            <w:proofErr w:type="spellEnd"/>
            <w:r w:rsidRPr="00DE0464">
              <w:rPr>
                <w:sz w:val="24"/>
                <w:lang w:val="hu-HU"/>
              </w:rPr>
              <w:t>, elsődleges, másodlagos jog dokumentumai, az Európai Bíróság döntései, a közösségi politika dokumentumai,</w:t>
            </w:r>
            <w:r w:rsidRPr="00DE0464">
              <w:rPr>
                <w:spacing w:val="-5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stb.)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after="240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Harmonizációs folyamatok az oktatási jogalkotás területén az Európai Unióban (az oktatási jogszabályok új dimenziói, keretjellegű szabályozás előtérbe kerülése, a nemzeti alaptantervek, az iskola társadalmasítása stb.)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after="240" w:line="237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A közösségi oktatási stratégia alapdokumentumai (fehér könyvek, zöld könyvek, Maastrichti Szerződés, Amszterdami szerződés nevezetes cikkelyei)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after="240" w:line="237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Közösségi kompetenciák az oktatás területén (az uniós szerződés és az oktatás, az uniós oktatáspolitika hatóköre, szakképzés, más területek, nemzeti</w:t>
            </w:r>
            <w:r w:rsidRPr="00DE0464">
              <w:rPr>
                <w:spacing w:val="10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megközelítések).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3" w:after="240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 xml:space="preserve">EU oktatási prioritásai (versenyképesség és innováció, a társadalmi kohézió fenntartása, </w:t>
            </w:r>
            <w:proofErr w:type="spellStart"/>
            <w:r w:rsidRPr="00DE0464">
              <w:rPr>
                <w:sz w:val="24"/>
                <w:lang w:val="hu-HU"/>
              </w:rPr>
              <w:t>lifelong</w:t>
            </w:r>
            <w:proofErr w:type="spellEnd"/>
            <w:r w:rsidRPr="00DE0464">
              <w:rPr>
                <w:sz w:val="24"/>
                <w:lang w:val="hu-HU"/>
              </w:rPr>
              <w:t xml:space="preserve"> </w:t>
            </w:r>
            <w:proofErr w:type="spellStart"/>
            <w:r w:rsidRPr="00DE0464">
              <w:rPr>
                <w:sz w:val="24"/>
                <w:lang w:val="hu-HU"/>
              </w:rPr>
              <w:t>learning</w:t>
            </w:r>
            <w:proofErr w:type="spellEnd"/>
            <w:r w:rsidRPr="00DE0464">
              <w:rPr>
                <w:sz w:val="24"/>
                <w:lang w:val="hu-HU"/>
              </w:rPr>
              <w:t>, munkavállalói mobilitás segítése, ICT, nyelvoktatás, társadalmi partnerek bevonása, európai dimenzió erősítése, távoktatás fejlesztése,</w:t>
            </w:r>
            <w:r w:rsidRPr="00DE0464">
              <w:rPr>
                <w:spacing w:val="6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stb.)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after="240" w:line="274" w:lineRule="exact"/>
              <w:ind w:left="572" w:right="572" w:firstLine="142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Reformok a közoktatásban (az angol, a francia, a holland</w:t>
            </w:r>
            <w:r w:rsidRPr="00DE0464">
              <w:rPr>
                <w:spacing w:val="6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reformok)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4" w:after="240" w:line="237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>iskolák irányításának sokszínűsége az EU államaiban néhány tagállam példáján (Németország, Franciaország, Hollandia,</w:t>
            </w:r>
            <w:r w:rsidRPr="00DE0464">
              <w:rPr>
                <w:spacing w:val="12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Anglia)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6" w:after="240" w:line="237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A közoktatás szerkezetének hasonlóságai a tagállamokban (a tagolt, a részben egységes, az egységes iskolastruktúra</w:t>
            </w:r>
            <w:r w:rsidRPr="00DE0464">
              <w:rPr>
                <w:spacing w:val="5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példáival)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before="5" w:after="240" w:line="237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>oktatási struktúrák összehasonlító táblázata az Európai Unió országaiban (iskolák közötti átjárhatósági problémák, pályaorientációs</w:t>
            </w:r>
            <w:r w:rsidRPr="00DE0464">
              <w:rPr>
                <w:spacing w:val="1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lehetőségek)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before="4" w:after="240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 xml:space="preserve">Transzparencia az Európai Unió tagállamaiban az oktatási törvénykezéshez kapcsolódó tantervkészítés terén (az oktatás tartalmi szabályozása, </w:t>
            </w:r>
            <w:r w:rsidRPr="00DE0464">
              <w:rPr>
                <w:spacing w:val="-3"/>
                <w:sz w:val="24"/>
                <w:lang w:val="hu-HU"/>
              </w:rPr>
              <w:t xml:space="preserve">mint </w:t>
            </w:r>
            <w:r w:rsidRPr="00DE0464">
              <w:rPr>
                <w:sz w:val="24"/>
                <w:lang w:val="hu-HU"/>
              </w:rPr>
              <w:t>közügy, az oktatás tartalma, soknemzetiségű tantervek, iskola és tanár</w:t>
            </w:r>
            <w:r w:rsidRPr="00DE0464">
              <w:rPr>
                <w:spacing w:val="13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autonómiája)</w:t>
            </w:r>
          </w:p>
          <w:p w:rsid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after="240" w:line="242" w:lineRule="auto"/>
              <w:ind w:left="572" w:right="572" w:firstLine="144"/>
              <w:jc w:val="both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>egyes műveltségterületekre fordított időkeret mértéke az Európai Unió tagállamaiban (anyanyelv, társadalomtudományok, természettudományok,</w:t>
            </w:r>
            <w:r w:rsidRPr="00DE0464">
              <w:rPr>
                <w:spacing w:val="10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stb.)</w:t>
            </w:r>
          </w:p>
          <w:p w:rsidR="00DE0464" w:rsidRPr="00DE0464" w:rsidRDefault="00DE0464" w:rsidP="00DE0464">
            <w:pPr>
              <w:pStyle w:val="TableParagraph"/>
              <w:tabs>
                <w:tab w:val="left" w:pos="533"/>
                <w:tab w:val="left" w:pos="572"/>
              </w:tabs>
              <w:spacing w:after="240" w:line="242" w:lineRule="auto"/>
              <w:ind w:left="716" w:right="572"/>
              <w:jc w:val="both"/>
              <w:rPr>
                <w:sz w:val="24"/>
                <w:lang w:val="hu-HU"/>
              </w:rPr>
            </w:pP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after="240" w:line="271" w:lineRule="exact"/>
              <w:ind w:left="572" w:right="572" w:firstLine="142"/>
              <w:jc w:val="both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>idegen nyelvek oktatásában mutatkozó hasonlóságok az Európai</w:t>
            </w:r>
            <w:r w:rsidRPr="00DE0464">
              <w:rPr>
                <w:spacing w:val="3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Unióban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after="240" w:line="275" w:lineRule="exact"/>
              <w:ind w:left="572" w:right="572" w:firstLine="142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A tankötelezettség teljesítéséhez kapcsolt</w:t>
            </w:r>
            <w:r w:rsidRPr="00DE0464">
              <w:rPr>
                <w:spacing w:val="-4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időtartam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after="240" w:line="275" w:lineRule="exact"/>
              <w:ind w:left="572" w:right="572" w:firstLine="142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A középfokot lezáró vizsgák az Európai Unióban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before="24" w:after="240" w:line="237" w:lineRule="auto"/>
              <w:ind w:left="572" w:right="572" w:firstLine="144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A közoktatás finanszírozásában mutatkozó állami és egyéb finanszírozói</w:t>
            </w:r>
            <w:r w:rsidRPr="00DE0464">
              <w:rPr>
                <w:spacing w:val="-46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szerepvállalás hasonlóságai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before="22" w:after="240"/>
              <w:ind w:left="572" w:right="572" w:firstLine="142"/>
              <w:rPr>
                <w:sz w:val="24"/>
                <w:lang w:val="hu-HU"/>
              </w:rPr>
            </w:pPr>
            <w:r w:rsidRPr="00DE0464">
              <w:rPr>
                <w:sz w:val="24"/>
                <w:lang w:val="hu-HU"/>
              </w:rPr>
              <w:t>A közösségi programok (Socrates, Leonardo, a Negyedik keretprogram, programok a</w:t>
            </w:r>
            <w:r w:rsidRPr="00DE0464">
              <w:rPr>
                <w:spacing w:val="-24"/>
                <w:sz w:val="24"/>
                <w:lang w:val="hu-HU"/>
              </w:rPr>
              <w:t xml:space="preserve"> </w:t>
            </w:r>
            <w:r w:rsidRPr="00DE0464">
              <w:rPr>
                <w:sz w:val="24"/>
                <w:lang w:val="hu-HU"/>
              </w:rPr>
              <w:t>jövőben)</w:t>
            </w:r>
          </w:p>
          <w:p w:rsidR="00DE0464" w:rsidRPr="00DE0464" w:rsidRDefault="00DE0464" w:rsidP="00DE0464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72"/>
              </w:tabs>
              <w:spacing w:before="17" w:after="240" w:line="242" w:lineRule="auto"/>
              <w:ind w:left="572" w:right="572" w:firstLine="144"/>
              <w:rPr>
                <w:sz w:val="24"/>
                <w:lang w:val="hu-HU"/>
              </w:rPr>
            </w:pPr>
            <w:r w:rsidRPr="00DE0464">
              <w:rPr>
                <w:spacing w:val="-3"/>
                <w:sz w:val="24"/>
                <w:lang w:val="hu-HU"/>
              </w:rPr>
              <w:t xml:space="preserve">Az </w:t>
            </w:r>
            <w:r w:rsidRPr="00DE0464">
              <w:rPr>
                <w:sz w:val="24"/>
                <w:lang w:val="hu-HU"/>
              </w:rPr>
              <w:t>oktatás ellenőrzése, a szakértői, szakfelügyeleti rendszer (a holland, a francia, az angol rendszer)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7E6"/>
    <w:multiLevelType w:val="hybridMultilevel"/>
    <w:tmpl w:val="A21A5C70"/>
    <w:lvl w:ilvl="0" w:tplc="CE0423EE">
      <w:start w:val="1"/>
      <w:numFmt w:val="decimal"/>
      <w:lvlText w:val="%1."/>
      <w:lvlJc w:val="left"/>
      <w:pPr>
        <w:ind w:left="2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C9B0F406">
      <w:numFmt w:val="bullet"/>
      <w:lvlText w:val="•"/>
      <w:lvlJc w:val="left"/>
      <w:pPr>
        <w:ind w:left="1019" w:hanging="284"/>
      </w:pPr>
      <w:rPr>
        <w:rFonts w:hint="default"/>
        <w:lang w:val="hu-HU" w:eastAsia="hu-HU" w:bidi="hu-HU"/>
      </w:rPr>
    </w:lvl>
    <w:lvl w:ilvl="2" w:tplc="169831C0">
      <w:numFmt w:val="bullet"/>
      <w:lvlText w:val="•"/>
      <w:lvlJc w:val="left"/>
      <w:pPr>
        <w:ind w:left="2019" w:hanging="284"/>
      </w:pPr>
      <w:rPr>
        <w:rFonts w:hint="default"/>
        <w:lang w:val="hu-HU" w:eastAsia="hu-HU" w:bidi="hu-HU"/>
      </w:rPr>
    </w:lvl>
    <w:lvl w:ilvl="3" w:tplc="097A0870">
      <w:numFmt w:val="bullet"/>
      <w:lvlText w:val="•"/>
      <w:lvlJc w:val="left"/>
      <w:pPr>
        <w:ind w:left="3018" w:hanging="284"/>
      </w:pPr>
      <w:rPr>
        <w:rFonts w:hint="default"/>
        <w:lang w:val="hu-HU" w:eastAsia="hu-HU" w:bidi="hu-HU"/>
      </w:rPr>
    </w:lvl>
    <w:lvl w:ilvl="4" w:tplc="33A83252">
      <w:numFmt w:val="bullet"/>
      <w:lvlText w:val="•"/>
      <w:lvlJc w:val="left"/>
      <w:pPr>
        <w:ind w:left="4018" w:hanging="284"/>
      </w:pPr>
      <w:rPr>
        <w:rFonts w:hint="default"/>
        <w:lang w:val="hu-HU" w:eastAsia="hu-HU" w:bidi="hu-HU"/>
      </w:rPr>
    </w:lvl>
    <w:lvl w:ilvl="5" w:tplc="FA206280">
      <w:numFmt w:val="bullet"/>
      <w:lvlText w:val="•"/>
      <w:lvlJc w:val="left"/>
      <w:pPr>
        <w:ind w:left="5017" w:hanging="284"/>
      </w:pPr>
      <w:rPr>
        <w:rFonts w:hint="default"/>
        <w:lang w:val="hu-HU" w:eastAsia="hu-HU" w:bidi="hu-HU"/>
      </w:rPr>
    </w:lvl>
    <w:lvl w:ilvl="6" w:tplc="62A6EDA0">
      <w:numFmt w:val="bullet"/>
      <w:lvlText w:val="•"/>
      <w:lvlJc w:val="left"/>
      <w:pPr>
        <w:ind w:left="6017" w:hanging="284"/>
      </w:pPr>
      <w:rPr>
        <w:rFonts w:hint="default"/>
        <w:lang w:val="hu-HU" w:eastAsia="hu-HU" w:bidi="hu-HU"/>
      </w:rPr>
    </w:lvl>
    <w:lvl w:ilvl="7" w:tplc="C7021B3C">
      <w:numFmt w:val="bullet"/>
      <w:lvlText w:val="•"/>
      <w:lvlJc w:val="left"/>
      <w:pPr>
        <w:ind w:left="7016" w:hanging="284"/>
      </w:pPr>
      <w:rPr>
        <w:rFonts w:hint="default"/>
        <w:lang w:val="hu-HU" w:eastAsia="hu-HU" w:bidi="hu-HU"/>
      </w:rPr>
    </w:lvl>
    <w:lvl w:ilvl="8" w:tplc="30B64606">
      <w:numFmt w:val="bullet"/>
      <w:lvlText w:val="•"/>
      <w:lvlJc w:val="left"/>
      <w:pPr>
        <w:ind w:left="8016" w:hanging="28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9"/>
    <w:rsid w:val="0037030B"/>
    <w:rsid w:val="00823088"/>
    <w:rsid w:val="00C67BB9"/>
    <w:rsid w:val="00D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E0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E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E0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E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2020-03-30T15:18:00Z</dcterms:created>
  <dcterms:modified xsi:type="dcterms:W3CDTF">2020-03-30T15:35:00Z</dcterms:modified>
</cp:coreProperties>
</file>