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2"/>
        <w:gridCol w:w="1533"/>
        <w:gridCol w:w="1529"/>
        <w:gridCol w:w="2199"/>
        <w:gridCol w:w="1809"/>
      </w:tblGrid>
      <w:tr w:rsidR="00E90AA9" w:rsidRPr="00E90AA9" w:rsidTr="00E90AA9">
        <w:trPr>
          <w:trHeight w:val="695"/>
        </w:trPr>
        <w:tc>
          <w:tcPr>
            <w:tcW w:w="1126" w:type="pct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20"/>
              <w:ind w:left="66"/>
              <w:rPr>
                <w:b/>
                <w:sz w:val="24"/>
                <w:lang w:val="hu-HU"/>
              </w:rPr>
            </w:pPr>
            <w:r w:rsidRPr="00E90AA9">
              <w:rPr>
                <w:b/>
                <w:sz w:val="24"/>
                <w:lang w:val="hu-HU"/>
              </w:rPr>
              <w:t>Kód:</w:t>
            </w:r>
          </w:p>
          <w:p w:rsidR="00E90AA9" w:rsidRPr="00E90AA9" w:rsidRDefault="00E90AA9" w:rsidP="004E0E7F">
            <w:pPr>
              <w:pStyle w:val="TableParagraph"/>
              <w:spacing w:before="12"/>
              <w:ind w:left="66"/>
              <w:rPr>
                <w:sz w:val="24"/>
                <w:lang w:val="hu-HU"/>
              </w:rPr>
            </w:pPr>
            <w:r w:rsidRPr="00E90AA9">
              <w:rPr>
                <w:sz w:val="24"/>
                <w:lang w:val="hu-HU"/>
              </w:rPr>
              <w:t>SZFE244</w:t>
            </w:r>
          </w:p>
        </w:tc>
        <w:tc>
          <w:tcPr>
            <w:tcW w:w="2950" w:type="pct"/>
            <w:gridSpan w:val="3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123" w:line="237" w:lineRule="auto"/>
              <w:ind w:left="67" w:right="383"/>
              <w:rPr>
                <w:b/>
                <w:sz w:val="24"/>
                <w:lang w:val="hu-HU"/>
              </w:rPr>
            </w:pPr>
            <w:r w:rsidRPr="00E90AA9">
              <w:rPr>
                <w:b/>
                <w:w w:val="115"/>
                <w:sz w:val="24"/>
                <w:lang w:val="hu-HU"/>
              </w:rPr>
              <w:t>Az élethosszig tartó tanulás, a felnőttoktatás kérdései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20"/>
              <w:ind w:left="52" w:right="219"/>
              <w:jc w:val="center"/>
              <w:rPr>
                <w:b/>
                <w:sz w:val="24"/>
                <w:lang w:val="hu-HU"/>
              </w:rPr>
            </w:pPr>
            <w:r w:rsidRPr="00E90AA9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E90AA9" w:rsidRPr="00E90AA9" w:rsidRDefault="00E90AA9" w:rsidP="004E0E7F">
            <w:pPr>
              <w:pStyle w:val="TableParagraph"/>
              <w:spacing w:before="12"/>
              <w:ind w:left="11"/>
              <w:jc w:val="center"/>
              <w:rPr>
                <w:sz w:val="24"/>
                <w:lang w:val="hu-HU"/>
              </w:rPr>
            </w:pPr>
            <w:r w:rsidRPr="00E90AA9">
              <w:rPr>
                <w:w w:val="119"/>
                <w:sz w:val="24"/>
                <w:lang w:val="hu-HU"/>
              </w:rPr>
              <w:t>4</w:t>
            </w:r>
          </w:p>
        </w:tc>
      </w:tr>
      <w:tr w:rsidR="00E90AA9" w:rsidRPr="00E90AA9" w:rsidTr="00E90AA9">
        <w:trPr>
          <w:trHeight w:val="609"/>
        </w:trPr>
        <w:tc>
          <w:tcPr>
            <w:tcW w:w="1126" w:type="pct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15"/>
              <w:ind w:left="23"/>
              <w:rPr>
                <w:b/>
                <w:sz w:val="24"/>
                <w:lang w:val="hu-HU"/>
              </w:rPr>
            </w:pPr>
            <w:r w:rsidRPr="00E90AA9">
              <w:rPr>
                <w:b/>
                <w:sz w:val="24"/>
                <w:lang w:val="hu-HU"/>
              </w:rPr>
              <w:t>Választhatóság:</w:t>
            </w:r>
          </w:p>
          <w:p w:rsidR="00E90AA9" w:rsidRPr="00E90AA9" w:rsidRDefault="00E90AA9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E90AA9">
              <w:rPr>
                <w:sz w:val="24"/>
                <w:lang w:val="hu-HU"/>
              </w:rPr>
              <w:t>kötelező</w:t>
            </w:r>
          </w:p>
        </w:tc>
        <w:tc>
          <w:tcPr>
            <w:tcW w:w="862" w:type="pct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15"/>
              <w:ind w:left="28"/>
              <w:rPr>
                <w:b/>
                <w:sz w:val="24"/>
                <w:lang w:val="hu-HU"/>
              </w:rPr>
            </w:pPr>
            <w:r w:rsidRPr="00E90AA9">
              <w:rPr>
                <w:b/>
                <w:sz w:val="24"/>
                <w:lang w:val="hu-HU"/>
              </w:rPr>
              <w:t>Heti óraszám:</w:t>
            </w:r>
          </w:p>
          <w:p w:rsidR="00E90AA9" w:rsidRPr="00E90AA9" w:rsidRDefault="00E90AA9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E90AA9">
              <w:rPr>
                <w:sz w:val="24"/>
                <w:lang w:val="hu-HU"/>
              </w:rPr>
              <w:t>10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15"/>
              <w:ind w:left="23"/>
              <w:rPr>
                <w:b/>
                <w:sz w:val="24"/>
                <w:lang w:val="hu-HU"/>
              </w:rPr>
            </w:pPr>
            <w:r w:rsidRPr="00E90AA9">
              <w:rPr>
                <w:b/>
                <w:sz w:val="24"/>
                <w:lang w:val="hu-HU"/>
              </w:rPr>
              <w:t>Kurzuszárás:</w:t>
            </w:r>
          </w:p>
          <w:p w:rsidR="00E90AA9" w:rsidRPr="00E90AA9" w:rsidRDefault="00E90AA9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E90AA9">
              <w:rPr>
                <w:sz w:val="24"/>
                <w:lang w:val="hu-HU"/>
              </w:rPr>
              <w:t>gyakorlati jegy</w:t>
            </w:r>
          </w:p>
        </w:tc>
        <w:tc>
          <w:tcPr>
            <w:tcW w:w="1228" w:type="pct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15"/>
              <w:ind w:left="28"/>
              <w:rPr>
                <w:b/>
                <w:sz w:val="24"/>
                <w:lang w:val="hu-HU"/>
              </w:rPr>
            </w:pPr>
            <w:r w:rsidRPr="00E90AA9">
              <w:rPr>
                <w:b/>
                <w:sz w:val="24"/>
                <w:lang w:val="hu-HU"/>
              </w:rPr>
              <w:t>Tanóraforma:</w:t>
            </w:r>
          </w:p>
          <w:p w:rsidR="00E90AA9" w:rsidRPr="00E90AA9" w:rsidRDefault="00E90AA9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E90AA9">
              <w:rPr>
                <w:sz w:val="24"/>
                <w:lang w:val="hu-HU"/>
              </w:rPr>
              <w:t>gyakorlat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:rsidR="00E90AA9" w:rsidRPr="00E90AA9" w:rsidRDefault="00E90AA9" w:rsidP="004E0E7F">
            <w:pPr>
              <w:pStyle w:val="TableParagraph"/>
              <w:spacing w:before="15"/>
              <w:ind w:left="51" w:right="628"/>
              <w:jc w:val="center"/>
              <w:rPr>
                <w:b/>
                <w:sz w:val="24"/>
                <w:lang w:val="hu-HU"/>
              </w:rPr>
            </w:pPr>
            <w:r w:rsidRPr="00E90AA9">
              <w:rPr>
                <w:b/>
                <w:sz w:val="24"/>
                <w:lang w:val="hu-HU"/>
              </w:rPr>
              <w:t>Előfeltétel:</w:t>
            </w:r>
          </w:p>
          <w:p w:rsidR="00E90AA9" w:rsidRPr="00E90AA9" w:rsidRDefault="00E90AA9" w:rsidP="004E0E7F">
            <w:pPr>
              <w:pStyle w:val="TableParagraph"/>
              <w:spacing w:before="17"/>
              <w:ind w:left="52" w:right="41"/>
              <w:jc w:val="center"/>
              <w:rPr>
                <w:sz w:val="24"/>
                <w:lang w:val="hu-HU"/>
              </w:rPr>
            </w:pPr>
            <w:r w:rsidRPr="00E90AA9">
              <w:rPr>
                <w:sz w:val="24"/>
                <w:lang w:val="hu-HU"/>
              </w:rPr>
              <w:t>––</w:t>
            </w:r>
          </w:p>
        </w:tc>
      </w:tr>
      <w:tr w:rsidR="00E90AA9" w:rsidRPr="00E90AA9" w:rsidTr="00E90AA9">
        <w:trPr>
          <w:trHeight w:val="10881"/>
        </w:trPr>
        <w:tc>
          <w:tcPr>
            <w:tcW w:w="5000" w:type="pct"/>
            <w:gridSpan w:val="5"/>
          </w:tcPr>
          <w:p w:rsidR="00E90AA9" w:rsidRPr="00E90AA9" w:rsidRDefault="00E90AA9" w:rsidP="00E90AA9">
            <w:pPr>
              <w:pStyle w:val="TableParagraph"/>
              <w:spacing w:before="240" w:line="247" w:lineRule="exact"/>
              <w:ind w:left="289"/>
              <w:jc w:val="both"/>
              <w:rPr>
                <w:b/>
                <w:lang w:val="hu-HU"/>
              </w:rPr>
            </w:pPr>
            <w:r w:rsidRPr="00E90AA9">
              <w:rPr>
                <w:b/>
                <w:lang w:val="hu-HU"/>
              </w:rPr>
              <w:t>A kurzus célja:</w:t>
            </w:r>
            <w:bookmarkStart w:id="0" w:name="_GoBack"/>
            <w:bookmarkEnd w:id="0"/>
          </w:p>
          <w:p w:rsidR="00E90AA9" w:rsidRPr="00E90AA9" w:rsidRDefault="00E90AA9" w:rsidP="00E90AA9">
            <w:pPr>
              <w:pStyle w:val="TableParagraph"/>
              <w:ind w:left="572" w:right="572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A kurzus célja a felnőttképzés elméleti alapjainak, fogalomrendszerének, az andragógiai történeti fejlődésének megismertetése; a felnőttoktatás, </w:t>
            </w:r>
            <w:proofErr w:type="spellStart"/>
            <w:r w:rsidRPr="00E90AA9">
              <w:rPr>
                <w:lang w:val="hu-HU"/>
              </w:rPr>
              <w:t>-képzés</w:t>
            </w:r>
            <w:proofErr w:type="spellEnd"/>
            <w:r w:rsidRPr="00E90AA9">
              <w:rPr>
                <w:lang w:val="hu-HU"/>
              </w:rPr>
              <w:t xml:space="preserve"> társadalmi, gazdasági hatásainak vizsgálata; a hazai felnőttképzési intézmények és főbb jellemzőik áttekintése; a felnőttoktatáshoz kapcsolódó és azt megteremtő jogi és finanszírozási kérdések áttekintése.</w:t>
            </w:r>
          </w:p>
          <w:p w:rsidR="00E90AA9" w:rsidRPr="00E90AA9" w:rsidRDefault="00E90AA9" w:rsidP="004E0E7F">
            <w:pPr>
              <w:pStyle w:val="TableParagraph"/>
              <w:spacing w:before="5"/>
              <w:rPr>
                <w:lang w:val="hu-HU"/>
              </w:rPr>
            </w:pPr>
          </w:p>
          <w:p w:rsidR="00E90AA9" w:rsidRPr="00E90AA9" w:rsidRDefault="00E90AA9" w:rsidP="00E90AA9">
            <w:pPr>
              <w:pStyle w:val="TableParagraph"/>
              <w:spacing w:line="249" w:lineRule="exact"/>
              <w:ind w:left="289"/>
              <w:rPr>
                <w:b/>
                <w:lang w:val="hu-HU"/>
              </w:rPr>
            </w:pPr>
            <w:r w:rsidRPr="00E90AA9">
              <w:rPr>
                <w:b/>
                <w:lang w:val="hu-HU"/>
              </w:rPr>
              <w:t>Témakörök: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after="240" w:line="242" w:lineRule="auto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spacing w:val="-3"/>
                <w:lang w:val="hu-HU"/>
              </w:rPr>
              <w:t xml:space="preserve">Az </w:t>
            </w:r>
            <w:r w:rsidRPr="00E90AA9">
              <w:rPr>
                <w:lang w:val="hu-HU"/>
              </w:rPr>
              <w:t xml:space="preserve">andragógia története, irányzatai, kulcsfogalmai, alapelvei, módszerei, tudományos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>szakmai kapcsolatai, helye a tudományok rendszerében, tudományos autonómiájának</w:t>
            </w:r>
            <w:r w:rsidRPr="00E90AA9">
              <w:rPr>
                <w:spacing w:val="-3"/>
                <w:lang w:val="hu-HU"/>
              </w:rPr>
              <w:t xml:space="preserve"> </w:t>
            </w:r>
            <w:r w:rsidRPr="00E90AA9">
              <w:rPr>
                <w:lang w:val="hu-HU"/>
              </w:rPr>
              <w:t>helyzete.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after="240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A </w:t>
            </w:r>
            <w:proofErr w:type="spellStart"/>
            <w:r w:rsidRPr="00E90AA9">
              <w:rPr>
                <w:lang w:val="hu-HU"/>
              </w:rPr>
              <w:t>LifeLong</w:t>
            </w:r>
            <w:proofErr w:type="spellEnd"/>
            <w:r w:rsidRPr="00E90AA9">
              <w:rPr>
                <w:lang w:val="hu-HU"/>
              </w:rPr>
              <w:t xml:space="preserve"> tanulás, oktatás, képzés, nevelés, szocializáció különbségei és hasonlóságai az egész életen át tartó fejlődés (</w:t>
            </w:r>
            <w:proofErr w:type="spellStart"/>
            <w:r w:rsidRPr="00E90AA9">
              <w:rPr>
                <w:lang w:val="hu-HU"/>
              </w:rPr>
              <w:t>lifespan</w:t>
            </w:r>
            <w:proofErr w:type="spellEnd"/>
            <w:r w:rsidRPr="00E90AA9">
              <w:rPr>
                <w:lang w:val="hu-HU"/>
              </w:rPr>
              <w:t xml:space="preserve"> </w:t>
            </w:r>
            <w:proofErr w:type="spellStart"/>
            <w:r w:rsidRPr="00E90AA9">
              <w:rPr>
                <w:lang w:val="hu-HU"/>
              </w:rPr>
              <w:t>development</w:t>
            </w:r>
            <w:proofErr w:type="spellEnd"/>
            <w:r w:rsidRPr="00E90AA9">
              <w:rPr>
                <w:lang w:val="hu-HU"/>
              </w:rPr>
              <w:t xml:space="preserve">) különböző szakaszaiban. A felnőttképzés jelentősége, tanulás </w:t>
            </w:r>
            <w:r w:rsidRPr="00E90AA9">
              <w:rPr>
                <w:spacing w:val="3"/>
                <w:lang w:val="hu-HU"/>
              </w:rPr>
              <w:t xml:space="preserve">az </w:t>
            </w:r>
            <w:r w:rsidRPr="00E90AA9">
              <w:rPr>
                <w:lang w:val="hu-HU"/>
              </w:rPr>
              <w:t xml:space="preserve">egész életen át. Nemzetközi trendek. Felnőttképzési modellek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>ajánlások</w:t>
            </w:r>
            <w:r w:rsidRPr="00E90AA9">
              <w:rPr>
                <w:spacing w:val="7"/>
                <w:lang w:val="hu-HU"/>
              </w:rPr>
              <w:t xml:space="preserve"> </w:t>
            </w:r>
            <w:r w:rsidRPr="00E90AA9">
              <w:rPr>
                <w:lang w:val="hu-HU"/>
              </w:rPr>
              <w:t>Európában.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after="240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A felnőttoktatás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 xml:space="preserve">–képzés ágazatai: az iskolarendszerű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 xml:space="preserve">iskolarendszeren kívüli felnőttképzés sajátosságai. A felnőttoktatás a közoktatás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 xml:space="preserve">a felsőoktatás rendszerében; a </w:t>
            </w:r>
            <w:proofErr w:type="gramStart"/>
            <w:r w:rsidRPr="00E90AA9">
              <w:rPr>
                <w:lang w:val="hu-HU"/>
              </w:rPr>
              <w:t>munkaerő-piaci képzések</w:t>
            </w:r>
            <w:proofErr w:type="gramEnd"/>
            <w:r w:rsidRPr="00E90AA9">
              <w:rPr>
                <w:lang w:val="hu-HU"/>
              </w:rPr>
              <w:t xml:space="preserve">; a képzési vállalkozások-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>a munkahelyek képző tevékenysége, a felnőttoktatás a közművelődés</w:t>
            </w:r>
            <w:r w:rsidRPr="00E90AA9">
              <w:rPr>
                <w:spacing w:val="1"/>
                <w:lang w:val="hu-HU"/>
              </w:rPr>
              <w:t xml:space="preserve"> </w:t>
            </w:r>
            <w:r w:rsidRPr="00E90AA9">
              <w:rPr>
                <w:lang w:val="hu-HU"/>
              </w:rPr>
              <w:t>rendszerében.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after="240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A felnőttképzés irányítása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 xml:space="preserve">szabályozása. A felnőttoktatás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>–képzés jogi szabályozása, finanszírozása. A felnőttképzési tevékenység engedélyeztetése, a képzési terv, a képzési program</w:t>
            </w:r>
            <w:r w:rsidRPr="00E90AA9">
              <w:rPr>
                <w:spacing w:val="4"/>
                <w:lang w:val="hu-HU"/>
              </w:rPr>
              <w:t xml:space="preserve"> </w:t>
            </w:r>
            <w:r w:rsidRPr="00E90AA9">
              <w:rPr>
                <w:lang w:val="hu-HU"/>
              </w:rPr>
              <w:t>elemei.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after="240" w:line="251" w:lineRule="exact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spacing w:val="-3"/>
                <w:lang w:val="hu-HU"/>
              </w:rPr>
              <w:t xml:space="preserve">Az </w:t>
            </w:r>
            <w:r w:rsidRPr="00E90AA9">
              <w:rPr>
                <w:lang w:val="hu-HU"/>
              </w:rPr>
              <w:t xml:space="preserve">andragógia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>az emberi erőforrás-fejlesztés/menedzsment</w:t>
            </w:r>
            <w:r w:rsidRPr="00E90AA9">
              <w:rPr>
                <w:spacing w:val="16"/>
                <w:lang w:val="hu-HU"/>
              </w:rPr>
              <w:t xml:space="preserve"> </w:t>
            </w:r>
            <w:r w:rsidRPr="00E90AA9">
              <w:rPr>
                <w:lang w:val="hu-HU"/>
              </w:rPr>
              <w:t>összefüggései.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after="240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spacing w:val="-3"/>
                <w:lang w:val="hu-HU"/>
              </w:rPr>
              <w:t xml:space="preserve">Az </w:t>
            </w:r>
            <w:proofErr w:type="spellStart"/>
            <w:r w:rsidRPr="00E90AA9">
              <w:rPr>
                <w:lang w:val="hu-HU"/>
              </w:rPr>
              <w:t>andragógus</w:t>
            </w:r>
            <w:proofErr w:type="spellEnd"/>
            <w:r w:rsidRPr="00E90AA9">
              <w:rPr>
                <w:lang w:val="hu-HU"/>
              </w:rPr>
              <w:t xml:space="preserve"> szerepei, szerepértelmezései, szakmai identitása; felnőttek tanulását segítő szakember,</w:t>
            </w:r>
            <w:r w:rsidRPr="00E90AA9">
              <w:rPr>
                <w:spacing w:val="-34"/>
                <w:lang w:val="hu-HU"/>
              </w:rPr>
              <w:t xml:space="preserve"> </w:t>
            </w:r>
            <w:r w:rsidRPr="00E90AA9">
              <w:rPr>
                <w:lang w:val="hu-HU"/>
              </w:rPr>
              <w:t>vezető.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after="240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A felnőttképzés tervezése. A felnőttképzés szereplői, tervezési-szervezési szintek. Szükségletfelmérés, célcsoport-elemzés, munkakörelemzés, </w:t>
            </w:r>
            <w:proofErr w:type="spellStart"/>
            <w:r w:rsidRPr="00E90AA9">
              <w:rPr>
                <w:lang w:val="hu-HU"/>
              </w:rPr>
              <w:t>curriculumfejlesztés</w:t>
            </w:r>
            <w:proofErr w:type="spellEnd"/>
            <w:r w:rsidRPr="00E90AA9">
              <w:rPr>
                <w:lang w:val="hu-HU"/>
              </w:rPr>
              <w:t xml:space="preserve"> – különös tekintettel a kompetenciaalapú curriculum-modell sajátságaira – programtervezés, </w:t>
            </w:r>
            <w:proofErr w:type="spellStart"/>
            <w:r w:rsidRPr="00E90AA9">
              <w:rPr>
                <w:lang w:val="hu-HU"/>
              </w:rPr>
              <w:t>-szervezés</w:t>
            </w:r>
            <w:proofErr w:type="spellEnd"/>
            <w:r w:rsidRPr="00E90AA9">
              <w:rPr>
                <w:lang w:val="hu-HU"/>
              </w:rPr>
              <w:t xml:space="preserve">, </w:t>
            </w:r>
            <w:proofErr w:type="spellStart"/>
            <w:r w:rsidRPr="00E90AA9">
              <w:rPr>
                <w:lang w:val="hu-HU"/>
              </w:rPr>
              <w:t>-értékelés</w:t>
            </w:r>
            <w:proofErr w:type="spellEnd"/>
            <w:r w:rsidRPr="00E90AA9">
              <w:rPr>
                <w:lang w:val="hu-HU"/>
              </w:rPr>
              <w:t>, programkínálatok</w:t>
            </w:r>
            <w:r w:rsidRPr="00E90AA9">
              <w:rPr>
                <w:spacing w:val="-4"/>
                <w:lang w:val="hu-HU"/>
              </w:rPr>
              <w:t xml:space="preserve"> </w:t>
            </w:r>
            <w:r w:rsidRPr="00E90AA9">
              <w:rPr>
                <w:lang w:val="hu-HU"/>
              </w:rPr>
              <w:t>szerkezete.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after="240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Felnőttoktatási formák: a „formális, </w:t>
            </w:r>
            <w:proofErr w:type="spellStart"/>
            <w:r w:rsidRPr="00E90AA9">
              <w:rPr>
                <w:lang w:val="hu-HU"/>
              </w:rPr>
              <w:t>nonformális</w:t>
            </w:r>
            <w:proofErr w:type="spellEnd"/>
            <w:r w:rsidRPr="00E90AA9">
              <w:rPr>
                <w:lang w:val="hu-HU"/>
              </w:rPr>
              <w:t xml:space="preserve">, informális” megkülönböztetések értelme: a hagyományos forma sajátosságai, szisztematikus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 xml:space="preserve">rugalmas, szinkron/aszinkron, zárt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 xml:space="preserve">nyitott, helyi és távoktatás; a modern (virtuális rendszerű) távoktatás, információtechnológia </w:t>
            </w:r>
            <w:r w:rsidRPr="00E90AA9">
              <w:rPr>
                <w:spacing w:val="-4"/>
                <w:lang w:val="hu-HU"/>
              </w:rPr>
              <w:t>és</w:t>
            </w:r>
            <w:r w:rsidRPr="00E90AA9">
              <w:rPr>
                <w:spacing w:val="6"/>
                <w:lang w:val="hu-HU"/>
              </w:rPr>
              <w:t xml:space="preserve"> </w:t>
            </w:r>
            <w:r w:rsidRPr="00E90AA9">
              <w:rPr>
                <w:lang w:val="hu-HU"/>
              </w:rPr>
              <w:t>telekommunikáció.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after="240" w:line="252" w:lineRule="exact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Andragógiai módszertani kultúra, módszertár, módszerválasztás stratégiáktól </w:t>
            </w:r>
            <w:r w:rsidRPr="00E90AA9">
              <w:rPr>
                <w:spacing w:val="-4"/>
                <w:lang w:val="hu-HU"/>
              </w:rPr>
              <w:t xml:space="preserve">és </w:t>
            </w:r>
            <w:r w:rsidRPr="00E90AA9">
              <w:rPr>
                <w:lang w:val="hu-HU"/>
              </w:rPr>
              <w:t>formáktól (is)</w:t>
            </w:r>
            <w:r w:rsidRPr="00E90AA9">
              <w:rPr>
                <w:spacing w:val="-8"/>
                <w:lang w:val="hu-HU"/>
              </w:rPr>
              <w:t xml:space="preserve"> </w:t>
            </w:r>
            <w:r w:rsidRPr="00E90AA9">
              <w:rPr>
                <w:lang w:val="hu-HU"/>
              </w:rPr>
              <w:t>függően.</w:t>
            </w:r>
          </w:p>
          <w:p w:rsidR="00E90AA9" w:rsidRPr="00E90AA9" w:rsidRDefault="00E90AA9" w:rsidP="00E90AA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after="240"/>
              <w:ind w:left="572" w:right="572" w:firstLine="0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 xml:space="preserve">A felnőttoktatás, </w:t>
            </w:r>
            <w:r w:rsidRPr="00E90AA9">
              <w:rPr>
                <w:spacing w:val="-4"/>
                <w:lang w:val="hu-HU"/>
              </w:rPr>
              <w:t xml:space="preserve">mint </w:t>
            </w:r>
            <w:r w:rsidRPr="00E90AA9">
              <w:rPr>
                <w:lang w:val="hu-HU"/>
              </w:rPr>
              <w:t>vállalkozás: jogi, gazdasági – üzleti, szervezési – logisztikai, etikai</w:t>
            </w:r>
            <w:r w:rsidRPr="00E90AA9">
              <w:rPr>
                <w:spacing w:val="-2"/>
                <w:lang w:val="hu-HU"/>
              </w:rPr>
              <w:t xml:space="preserve"> </w:t>
            </w:r>
            <w:r w:rsidRPr="00E90AA9">
              <w:rPr>
                <w:lang w:val="hu-HU"/>
              </w:rPr>
              <w:t>kérdések.</w:t>
            </w:r>
          </w:p>
          <w:p w:rsidR="00E90AA9" w:rsidRDefault="00E90AA9" w:rsidP="004E0E7F">
            <w:pPr>
              <w:pStyle w:val="TableParagraph"/>
              <w:spacing w:before="11"/>
              <w:rPr>
                <w:sz w:val="21"/>
                <w:lang w:val="hu-HU"/>
              </w:rPr>
            </w:pPr>
          </w:p>
          <w:p w:rsidR="00E90AA9" w:rsidRPr="00E90AA9" w:rsidRDefault="00E90AA9" w:rsidP="004E0E7F">
            <w:pPr>
              <w:pStyle w:val="TableParagraph"/>
              <w:spacing w:before="11"/>
              <w:rPr>
                <w:sz w:val="21"/>
                <w:lang w:val="hu-HU"/>
              </w:rPr>
            </w:pPr>
          </w:p>
          <w:p w:rsidR="00E90AA9" w:rsidRPr="00E90AA9" w:rsidRDefault="00E90AA9" w:rsidP="00E90AA9">
            <w:pPr>
              <w:pStyle w:val="TableParagraph"/>
              <w:spacing w:before="240" w:line="251" w:lineRule="exact"/>
              <w:ind w:left="289"/>
              <w:rPr>
                <w:b/>
                <w:lang w:val="hu-HU"/>
              </w:rPr>
            </w:pPr>
            <w:r w:rsidRPr="00E90AA9">
              <w:rPr>
                <w:b/>
                <w:lang w:val="hu-HU"/>
              </w:rPr>
              <w:lastRenderedPageBreak/>
              <w:t>Kötelező irodalom:</w:t>
            </w:r>
          </w:p>
          <w:p w:rsidR="00E90AA9" w:rsidRPr="00E90AA9" w:rsidRDefault="00E90AA9" w:rsidP="00E90AA9">
            <w:pPr>
              <w:pStyle w:val="TableParagraph"/>
              <w:tabs>
                <w:tab w:val="left" w:pos="849"/>
                <w:tab w:val="left" w:pos="1540"/>
                <w:tab w:val="left" w:pos="2394"/>
                <w:tab w:val="left" w:pos="3886"/>
                <w:tab w:val="left" w:pos="4270"/>
                <w:tab w:val="left" w:pos="5455"/>
                <w:tab w:val="left" w:pos="6923"/>
                <w:tab w:val="left" w:pos="8003"/>
                <w:tab w:val="left" w:pos="9346"/>
              </w:tabs>
              <w:spacing w:after="240" w:line="237" w:lineRule="auto"/>
              <w:ind w:left="572" w:right="572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>Henczi</w:t>
            </w:r>
            <w:r w:rsidRPr="00E90AA9">
              <w:rPr>
                <w:lang w:val="hu-HU"/>
              </w:rPr>
              <w:tab/>
              <w:t>Lajos</w:t>
            </w:r>
            <w:r w:rsidRPr="00E90AA9">
              <w:rPr>
                <w:lang w:val="hu-HU"/>
              </w:rPr>
              <w:tab/>
              <w:t>(2014):</w:t>
            </w:r>
            <w:r w:rsidRPr="00E90AA9">
              <w:rPr>
                <w:lang w:val="hu-HU"/>
              </w:rPr>
              <w:tab/>
              <w:t>Felnőttképzési</w:t>
            </w:r>
            <w:r w:rsidRPr="00E90AA9">
              <w:rPr>
                <w:lang w:val="hu-HU"/>
              </w:rPr>
              <w:tab/>
            </w:r>
            <w:r>
              <w:rPr>
                <w:spacing w:val="-4"/>
                <w:lang w:val="hu-HU"/>
              </w:rPr>
              <w:t xml:space="preserve">és </w:t>
            </w:r>
            <w:r>
              <w:rPr>
                <w:lang w:val="hu-HU"/>
              </w:rPr>
              <w:t>intézményi menedzsment. Budapest,</w:t>
            </w:r>
            <w:r>
              <w:rPr>
                <w:lang w:val="hu-HU"/>
              </w:rPr>
              <w:tab/>
              <w:t xml:space="preserve">Nemzedékek </w:t>
            </w:r>
            <w:r w:rsidRPr="00E90AA9">
              <w:rPr>
                <w:lang w:val="hu-HU"/>
              </w:rPr>
              <w:t>Tudása Tankönyvkiadó</w:t>
            </w:r>
          </w:p>
          <w:p w:rsidR="00E90AA9" w:rsidRPr="00E90AA9" w:rsidRDefault="00E90AA9" w:rsidP="00E90AA9">
            <w:pPr>
              <w:pStyle w:val="TableParagraph"/>
              <w:spacing w:before="1" w:after="240"/>
              <w:ind w:left="572" w:right="572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>Koltai Dénes – Lada László (szerk.) (2006): Az andragógiai korszerű eszközeiről és módszereiről. Budapest, Nemzeti Felnőttképzési Intézet</w:t>
            </w:r>
          </w:p>
          <w:p w:rsidR="00E90AA9" w:rsidRPr="00E90AA9" w:rsidRDefault="00E90AA9" w:rsidP="00E90AA9">
            <w:pPr>
              <w:pStyle w:val="TableParagraph"/>
              <w:spacing w:before="5" w:after="240" w:line="237" w:lineRule="auto"/>
              <w:ind w:left="572" w:right="572"/>
              <w:jc w:val="both"/>
              <w:rPr>
                <w:lang w:val="hu-HU"/>
              </w:rPr>
            </w:pPr>
            <w:r w:rsidRPr="00E90AA9">
              <w:rPr>
                <w:lang w:val="hu-HU"/>
              </w:rPr>
              <w:t>Benedek András – Koltai Dénes – Szekeres Tamás – Vass László (szerk.) (2008): Andragógiai ismeretek. Budapest, Nemzeti Szakképzési és Felnőttképzési Intézet</w:t>
            </w:r>
          </w:p>
          <w:p w:rsidR="00E90AA9" w:rsidRPr="00E90AA9" w:rsidRDefault="00E90AA9" w:rsidP="00E90AA9">
            <w:pPr>
              <w:pStyle w:val="TableParagraph"/>
              <w:spacing w:before="7" w:after="240"/>
              <w:rPr>
                <w:lang w:val="hu-HU"/>
              </w:rPr>
            </w:pPr>
          </w:p>
          <w:p w:rsidR="00E90AA9" w:rsidRPr="00E90AA9" w:rsidRDefault="00E90AA9" w:rsidP="00E90AA9">
            <w:pPr>
              <w:pStyle w:val="TableParagraph"/>
              <w:spacing w:line="249" w:lineRule="exact"/>
              <w:ind w:left="289"/>
              <w:rPr>
                <w:b/>
                <w:lang w:val="hu-HU"/>
              </w:rPr>
            </w:pPr>
            <w:r w:rsidRPr="00E90AA9">
              <w:rPr>
                <w:b/>
                <w:lang w:val="hu-HU"/>
              </w:rPr>
              <w:t>Ajánlott irodalom*:</w:t>
            </w:r>
          </w:p>
          <w:p w:rsidR="00E90AA9" w:rsidRPr="00E90AA9" w:rsidRDefault="00E90AA9" w:rsidP="00E90AA9">
            <w:pPr>
              <w:pStyle w:val="TableParagraph"/>
              <w:spacing w:after="240" w:line="242" w:lineRule="auto"/>
              <w:ind w:left="572" w:right="572"/>
              <w:rPr>
                <w:lang w:val="hu-HU"/>
              </w:rPr>
            </w:pPr>
            <w:r w:rsidRPr="00E90AA9">
              <w:rPr>
                <w:lang w:val="hu-HU"/>
              </w:rPr>
              <w:t>Benedek András – Koltai Dénes – Szekeres Tamás – Vass László (szerk.) (2008): A felnőttképzés szervezése. Budapest, Nemzeti Szakképzési és Felnőttképzési Intézet</w:t>
            </w:r>
          </w:p>
          <w:p w:rsidR="00E90AA9" w:rsidRPr="00E90AA9" w:rsidRDefault="00E90AA9" w:rsidP="004E0E7F">
            <w:pPr>
              <w:pStyle w:val="TableParagraph"/>
              <w:spacing w:line="242" w:lineRule="auto"/>
              <w:ind w:left="572" w:right="572"/>
              <w:rPr>
                <w:lang w:val="hu-HU"/>
              </w:rPr>
            </w:pPr>
            <w:r w:rsidRPr="00E90AA9">
              <w:rPr>
                <w:lang w:val="hu-HU"/>
              </w:rPr>
              <w:t>Szép Zsófia – Vámosi Tamás (2007): Felnőttképzés és szakképzés, makro-folyamatok, tervezés. Pécs, Pécsi Tudományegyetem FEEK</w:t>
            </w:r>
          </w:p>
          <w:p w:rsidR="00E90AA9" w:rsidRPr="00E90AA9" w:rsidRDefault="00E90AA9" w:rsidP="004E0E7F">
            <w:pPr>
              <w:pStyle w:val="TableParagraph"/>
              <w:ind w:left="572" w:right="572"/>
              <w:rPr>
                <w:sz w:val="21"/>
                <w:lang w:val="hu-HU"/>
              </w:rPr>
            </w:pPr>
          </w:p>
          <w:p w:rsidR="00E90AA9" w:rsidRPr="00E90AA9" w:rsidRDefault="00E90AA9" w:rsidP="004E0E7F">
            <w:pPr>
              <w:pStyle w:val="TableParagraph"/>
              <w:spacing w:line="243" w:lineRule="exact"/>
              <w:ind w:left="572" w:right="572"/>
              <w:rPr>
                <w:lang w:val="hu-HU"/>
              </w:rPr>
            </w:pPr>
            <w:r w:rsidRPr="00E90AA9">
              <w:rPr>
                <w:lang w:val="hu-HU"/>
              </w:rPr>
              <w:t>A tantárgyleírás melléklete egy szélesebb körű témakörönkénti irodalomlista.</w:t>
            </w: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D3E"/>
    <w:multiLevelType w:val="hybridMultilevel"/>
    <w:tmpl w:val="65D64D98"/>
    <w:lvl w:ilvl="0" w:tplc="1A964EB0">
      <w:start w:val="1"/>
      <w:numFmt w:val="decimal"/>
      <w:lvlText w:val="%1."/>
      <w:lvlJc w:val="left"/>
      <w:pPr>
        <w:ind w:left="2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3CA4B4E8">
      <w:numFmt w:val="bullet"/>
      <w:lvlText w:val="•"/>
      <w:lvlJc w:val="left"/>
      <w:pPr>
        <w:ind w:left="1019" w:hanging="231"/>
      </w:pPr>
      <w:rPr>
        <w:rFonts w:hint="default"/>
        <w:lang w:val="hu-HU" w:eastAsia="hu-HU" w:bidi="hu-HU"/>
      </w:rPr>
    </w:lvl>
    <w:lvl w:ilvl="2" w:tplc="B0367E72">
      <w:numFmt w:val="bullet"/>
      <w:lvlText w:val="•"/>
      <w:lvlJc w:val="left"/>
      <w:pPr>
        <w:ind w:left="2018" w:hanging="231"/>
      </w:pPr>
      <w:rPr>
        <w:rFonts w:hint="default"/>
        <w:lang w:val="hu-HU" w:eastAsia="hu-HU" w:bidi="hu-HU"/>
      </w:rPr>
    </w:lvl>
    <w:lvl w:ilvl="3" w:tplc="64822BAA">
      <w:numFmt w:val="bullet"/>
      <w:lvlText w:val="•"/>
      <w:lvlJc w:val="left"/>
      <w:pPr>
        <w:ind w:left="3017" w:hanging="231"/>
      </w:pPr>
      <w:rPr>
        <w:rFonts w:hint="default"/>
        <w:lang w:val="hu-HU" w:eastAsia="hu-HU" w:bidi="hu-HU"/>
      </w:rPr>
    </w:lvl>
    <w:lvl w:ilvl="4" w:tplc="6234EEE2">
      <w:numFmt w:val="bullet"/>
      <w:lvlText w:val="•"/>
      <w:lvlJc w:val="left"/>
      <w:pPr>
        <w:ind w:left="4016" w:hanging="231"/>
      </w:pPr>
      <w:rPr>
        <w:rFonts w:hint="default"/>
        <w:lang w:val="hu-HU" w:eastAsia="hu-HU" w:bidi="hu-HU"/>
      </w:rPr>
    </w:lvl>
    <w:lvl w:ilvl="5" w:tplc="09A665A0">
      <w:numFmt w:val="bullet"/>
      <w:lvlText w:val="•"/>
      <w:lvlJc w:val="left"/>
      <w:pPr>
        <w:ind w:left="5015" w:hanging="231"/>
      </w:pPr>
      <w:rPr>
        <w:rFonts w:hint="default"/>
        <w:lang w:val="hu-HU" w:eastAsia="hu-HU" w:bidi="hu-HU"/>
      </w:rPr>
    </w:lvl>
    <w:lvl w:ilvl="6" w:tplc="0568E588">
      <w:numFmt w:val="bullet"/>
      <w:lvlText w:val="•"/>
      <w:lvlJc w:val="left"/>
      <w:pPr>
        <w:ind w:left="6014" w:hanging="231"/>
      </w:pPr>
      <w:rPr>
        <w:rFonts w:hint="default"/>
        <w:lang w:val="hu-HU" w:eastAsia="hu-HU" w:bidi="hu-HU"/>
      </w:rPr>
    </w:lvl>
    <w:lvl w:ilvl="7" w:tplc="29E0F0E8">
      <w:numFmt w:val="bullet"/>
      <w:lvlText w:val="•"/>
      <w:lvlJc w:val="left"/>
      <w:pPr>
        <w:ind w:left="7013" w:hanging="231"/>
      </w:pPr>
      <w:rPr>
        <w:rFonts w:hint="default"/>
        <w:lang w:val="hu-HU" w:eastAsia="hu-HU" w:bidi="hu-HU"/>
      </w:rPr>
    </w:lvl>
    <w:lvl w:ilvl="8" w:tplc="87206F32">
      <w:numFmt w:val="bullet"/>
      <w:lvlText w:val="•"/>
      <w:lvlJc w:val="left"/>
      <w:pPr>
        <w:ind w:left="8012" w:hanging="231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84"/>
    <w:rsid w:val="00823088"/>
    <w:rsid w:val="00E90AA9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9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90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9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9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2020-03-30T15:48:00Z</dcterms:created>
  <dcterms:modified xsi:type="dcterms:W3CDTF">2020-03-30T15:52:00Z</dcterms:modified>
</cp:coreProperties>
</file>